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4D5" w:rsidRPr="0009497E" w:rsidRDefault="000034D5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0034D5" w:rsidRPr="0009497E" w:rsidRDefault="000034D5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F5442E" w:rsidRPr="0009497E" w:rsidRDefault="00F5442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F5442E" w:rsidRPr="0009497E" w:rsidRDefault="00F5442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 xml:space="preserve">на оказание услуг по технической поддержке системы ITSM </w:t>
      </w:r>
    </w:p>
    <w:p w:rsidR="00F5442E" w:rsidRPr="0009497E" w:rsidRDefault="00F5442E" w:rsidP="0009497E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для нужд АО «ЭнергосбыТ Плюс»</w:t>
      </w:r>
    </w:p>
    <w:p w:rsidR="00F5442E" w:rsidRPr="0009497E" w:rsidRDefault="00F5442E" w:rsidP="0009497E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Общие сведения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Цели сопровождения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Основными целями оказания услуг по технической поддержке системы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 xml:space="preserve"> (далее Система) являются обеспечение её бесперебойного функционирования, обновление руководств пользователя и администратора, а также оперативное решение проблем, возникающих у пользователей при эксплуатации Системы.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09497E">
        <w:rPr>
          <w:rFonts w:ascii="Tahoma" w:hAnsi="Tahoma" w:cs="Tahoma"/>
          <w:b/>
          <w:sz w:val="20"/>
          <w:szCs w:val="20"/>
        </w:rPr>
        <w:t xml:space="preserve">Заказчик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sz w:val="20"/>
          <w:szCs w:val="20"/>
          <w:lang w:eastAsia="zh-CN"/>
        </w:rPr>
      </w:pPr>
      <w:r w:rsidRPr="0009497E">
        <w:rPr>
          <w:rFonts w:ascii="Tahoma" w:eastAsia="SimSun" w:hAnsi="Tahoma" w:cs="Tahoma"/>
          <w:sz w:val="20"/>
          <w:szCs w:val="20"/>
          <w:lang w:eastAsia="zh-CN"/>
        </w:rPr>
        <w:t>АО «</w:t>
      </w:r>
      <w:r w:rsidRPr="0009497E">
        <w:rPr>
          <w:rFonts w:ascii="Tahoma" w:hAnsi="Tahoma" w:cs="Tahoma"/>
          <w:sz w:val="20"/>
          <w:szCs w:val="20"/>
        </w:rPr>
        <w:t>ЭнергосбыТ</w:t>
      </w:r>
      <w:r w:rsidRPr="0009497E">
        <w:rPr>
          <w:rFonts w:ascii="Tahoma" w:eastAsia="SimSun" w:hAnsi="Tahoma" w:cs="Tahoma"/>
          <w:sz w:val="20"/>
          <w:szCs w:val="20"/>
          <w:lang w:eastAsia="zh-CN"/>
        </w:rPr>
        <w:t xml:space="preserve"> Плюс», далее по тексту (Заказчик).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Требования к организационному объему услуг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Услуги оказываются для нужд всех филиалов АО «ЭнергосбыТ Плюс»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 xml:space="preserve">Требования к срокам </w:t>
      </w:r>
      <w:bookmarkStart w:id="0" w:name="_Toc508800633"/>
      <w:r w:rsidRPr="0009497E">
        <w:rPr>
          <w:rFonts w:ascii="Tahoma" w:hAnsi="Tahoma" w:cs="Tahoma"/>
          <w:b/>
          <w:sz w:val="20"/>
          <w:szCs w:val="20"/>
        </w:rPr>
        <w:t>оказания услуг</w:t>
      </w:r>
    </w:p>
    <w:bookmarkEnd w:id="0"/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Общий срок оказания Услуг: в течение 12 месяцев с даты подписания Договора</w:t>
      </w:r>
      <w:r w:rsidR="0097618A">
        <w:rPr>
          <w:rFonts w:ascii="Tahoma" w:hAnsi="Tahoma" w:cs="Tahoma"/>
          <w:sz w:val="20"/>
          <w:szCs w:val="20"/>
        </w:rPr>
        <w:t>, но не ранее 03.04.2026г</w:t>
      </w:r>
      <w:bookmarkStart w:id="1" w:name="_GoBack"/>
      <w:bookmarkEnd w:id="1"/>
      <w:r w:rsidRPr="0009497E">
        <w:rPr>
          <w:rFonts w:ascii="Tahoma" w:hAnsi="Tahoma" w:cs="Tahoma"/>
          <w:sz w:val="20"/>
          <w:szCs w:val="20"/>
        </w:rPr>
        <w:t>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Требования к безопасности</w:t>
      </w:r>
    </w:p>
    <w:p w:rsidR="0009497E" w:rsidRPr="0009497E" w:rsidRDefault="0009497E" w:rsidP="0009497E">
      <w:pPr>
        <w:pStyle w:val="a5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Полные Требования к информационной безопасности (далее Требования ИБ) к исполнителю при осуществлении удаленного доступа к инфраструктуре заказчика указаны в приложении №</w:t>
      </w:r>
      <w:r>
        <w:rPr>
          <w:rFonts w:ascii="Tahoma" w:hAnsi="Tahoma" w:cs="Tahoma"/>
          <w:sz w:val="20"/>
          <w:szCs w:val="20"/>
        </w:rPr>
        <w:t>2</w:t>
      </w:r>
      <w:r w:rsidRPr="0009497E">
        <w:rPr>
          <w:rFonts w:ascii="Tahoma" w:hAnsi="Tahoma" w:cs="Tahoma"/>
          <w:sz w:val="20"/>
          <w:szCs w:val="20"/>
        </w:rPr>
        <w:t xml:space="preserve"> к настоящему Техническому заданию.</w:t>
      </w:r>
    </w:p>
    <w:p w:rsidR="0009497E" w:rsidRPr="0009497E" w:rsidRDefault="0009497E" w:rsidP="0009497E">
      <w:pPr>
        <w:pStyle w:val="a5"/>
        <w:tabs>
          <w:tab w:val="left" w:pos="317"/>
          <w:tab w:val="left" w:pos="567"/>
        </w:tabs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</w:t>
      </w: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Взаимодействие сторон в рамках сопровождения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Основным каналом обращения за технической поддержкой является сама система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>, установленная у Заказчика.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 случае нарушения работы Системы, невозможности регистрации и/или обработки обращения в Системе ITSM, Заказчик подает обращения на почтовый адрес или телефон Исполнителя, указанные в договоре.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Исполнитель: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Обеспечивает обработку обращений, зарегистрированных в Системе на соответствующую конфигурационную единицу и рабочую группу Исполнителя;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При заключении договора предоставляет дополнительные каналы обращения за технической поддержкой:  </w:t>
      </w:r>
    </w:p>
    <w:p w:rsidR="0009497E" w:rsidRPr="0009497E" w:rsidRDefault="0009497E" w:rsidP="0009497E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Номер телефона Исполнителя</w:t>
      </w:r>
    </w:p>
    <w:p w:rsidR="0009497E" w:rsidRPr="0009497E" w:rsidRDefault="0009497E" w:rsidP="0009497E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Адрес электронной почты Исполнителя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Оказывает Услуги, указанные в п.1.8 настоящего Технического задания в соответствии с правилами предоставления технической поддержки (Приложение 1 к настоящему Технического задания)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Если инициатором услуг является Исполнитель, то Исполнитель информирует по электронной почте представителя Заказчика о необходимости выполнения определенных действий сотрудниками Исполнителя, регистрирует соответствующую заявку в Системе и отслеживает ход ее исполнения в указанные сроки.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На каждый вопрос Заказчика или на возникающую ошибку в Системе оформляется одно Обращение.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Отдельные услуги по технической поддержке могут требовать временной остановки работы Системы, при которой работа всех Пользователей невозможна. Плановой остановкой считается остановка системы в нерабочее время, о которой Заказчик и Исполнитель договариваются заранее и ставят в известность Пользователей.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Все плановые остановки Исполнитель согласует по электронной почте Заказчику не менее чем за 2 дня до оказания услуг.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Остановки, вызванные нарушениями в работе серверного оборудования и программного обеспечения, считаются неплановыми. В этих 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Требования к функциональному объёму оказания услуг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Исполнитель оказывает для Заказчика следующие услуги по сопровождению Системы: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lastRenderedPageBreak/>
        <w:t>Информационно-техническое обслуживание Системы, включающее доступ к закрытому форуму поддержки Итилиум с возможностью скачивания новых версий Системы (ИТС «Итилиум» в наличии);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Обновление Системы по мере выхода новых версий 1С Итилиум по запросу Заказчика;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Консультирование пользователей и администраторов по вопросам эксплуатации системы;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Консультирование пользователей и администраторов по решению проблем, возникающих при работе в Системе;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Модификация правил;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Проведение анализа и предоставление инструкций по исправлению ошибок, обусловленных действиями Пользователей;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Устранение последствий ошибок Пользователей и сбоев Системы, в т.ч. восстановление нормального функционирования Системы и нормального состояния хранилища данных;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Устранение ошибок программного обеспечения, приводящих к нарушению функционирования системы в штатном режиме согласно эксплуатационной документации;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Контроль работоспособности компонент Системы, мониторинг объектов хранилища данных;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Восстановление компонент Системы после сбоев – при необходимости;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Мониторинг производительности Системы и предоставление рекомендаций по увеличению быстродействия;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Расширение существующих и новых отчетов;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Расширение существующей функциональности Системы и дополнительные услуги по Заявке Заказчика (Приложение №</w:t>
      </w:r>
      <w:r>
        <w:rPr>
          <w:rFonts w:ascii="Tahoma" w:hAnsi="Tahoma" w:cs="Tahoma"/>
          <w:sz w:val="20"/>
          <w:szCs w:val="20"/>
        </w:rPr>
        <w:t>3</w:t>
      </w:r>
      <w:r w:rsidRPr="0009497E">
        <w:rPr>
          <w:rFonts w:ascii="Tahoma" w:hAnsi="Tahoma" w:cs="Tahoma"/>
          <w:sz w:val="20"/>
          <w:szCs w:val="20"/>
        </w:rPr>
        <w:t xml:space="preserve"> к настоящему Техническому заданию), их корректная интеграция в действующие механизмы, настройка их полного взаимодействия с типовыми решениями Системы для реализации бизнес-процессов Заказчика;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Настройка обмена данными с различными программами Заказчика штатным функционалом Системы, в том числе, работающими на платформах, отличных от платформы Итилиум;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Внесение корректировок и обновление пользовательских инструкций по работе с Системой;</w:t>
      </w:r>
    </w:p>
    <w:p w:rsidR="0009497E" w:rsidRPr="0009497E" w:rsidRDefault="0009497E" w:rsidP="0009497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Прочие услуги, не указанные выше, связанные с функционированием Системы.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Объем оказываемых услуг – не менее 41 часа в сумме за отчетный период (месяц).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Состав услуг, исключенных из объема сопровождения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Перечень услуг, исключенных из объема сопровождения и сервисного обслуживания Системы. При необходимости данные услуги могут быть предоставлены по заявке Заказчика на отдельных условиях и по отдельным соглашениям.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Оценка нового программного обеспечения или оборудования – Оценка или одобрение нового программного обеспечения или аппаратных средств для использования у Заказчика, включая системы, разработанные третьими лицами или самим Заказчиком;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Приобретение нового программного обеспечения или оборудования –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Заказчика. Всё программное обеспечение или аппаратные средства, необходимые Исполнителю для использования при поддержке Заказчика, являются ответственностью Заказчика и приобретаются за его счет;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Лицензирование программного обеспечения – Исполнитель не поддерживает нелицензированное программное обеспечение и не предоставляет лицензии на программное обеспечение. Заказчик самостоятельно обеспечивает программное обеспечение необходимыми лицензиями и правами на использование;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Обновление аппаратных средств –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Помощь в использовании приложений – Советы или обучение настройкам и использованию приложений сторонних производителей, включая создание пользователей для этих приложений и т.п.;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Помощь в поддержке среды прикладных программ – Советы по использованию, поддержке и обслуживанию среды прикладных программ, включая инструментальные средства разработки, прикладное программное обеспечение сервера и баз данных;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Помощь при нестандартных решениях – Касается использования Заказчиком нестандартных аппаратных средств или программного обеспечения, не поддерживаемых производителями, что часто является причиной непредсказуемого и неожиданного поведения или ненадежной работы всей Системы;</w:t>
      </w:r>
    </w:p>
    <w:p w:rsidR="0009497E" w:rsidRPr="0009497E" w:rsidRDefault="0009497E" w:rsidP="0009497E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Адаптивное обслуживание – Любая деятельность, имеющая отношение к обновлению, модернизации или преобразованию программного обеспечения Системы и выходящая за рамки согласованных технических требований, вследствие установки у Заказчика новых версий среды, прикладного программного обеспечения, включая операционные системы, серверное и клиентское программное обеспечение, базы данных, сетевое оборудование и т.д.</w:t>
      </w:r>
    </w:p>
    <w:p w:rsidR="0009497E" w:rsidRPr="0009497E" w:rsidRDefault="0009497E" w:rsidP="0009497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lastRenderedPageBreak/>
        <w:t>Объект сопровождения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Функции Системы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Информационная система управления ИТ-услугами предназначена для автоматизации процессов управления ИТ-услугами, в том числе управления ИТ-активами Заказчика, а также автоматизации следующих ИТ-процессов организации: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каталогом и уровнем услуг;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инцидентами и запросами на обслуживание;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услугами;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проблемами;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релизами;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изменениями;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конфигурациями;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активами</w:t>
      </w:r>
    </w:p>
    <w:p w:rsidR="0009497E" w:rsidRPr="0009497E" w:rsidRDefault="0009497E" w:rsidP="0009497E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Управление персоналом.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Задачи Системы: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Структурирование деятельности ИТ-подразделений, представив ее в виде Каталога услуг;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Организация учета запросов, поступающих от пользователей, через единую точку контакта – службу «Service Desk»;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Получение аналитической отчетность о поступающих запросах пользователей в разрезе услуг;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Установка и контроль сроков обработки инцидентов и запросов, поступающих от пользователей;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Предоставление клиентам интерфейса и инструмента подачи, отслеживания и оценки качества обработки их запросов;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Поднятие удовлетворенности внутренних и внешних клиентов предоставляемыми услугами;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Корректная оценка возможности по оказанию услуг при заключении Соглашения об уровне услуг;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Учет трудозатрат сотрудников ИТ-подразделений в разрезе услуг/клиентов/сотрудников;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Оказание и учет регламентных услуг по обслуживанию ИТ-инфраструктуры;</w:t>
      </w:r>
    </w:p>
    <w:p w:rsidR="0009497E" w:rsidRPr="0009497E" w:rsidRDefault="0009497E" w:rsidP="0009497E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Планирование и контролирование изменений в инфраструктуре, информационных системах и предоставляемых ИТ-услугах.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Архитектура Системы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Система ITSM базируется на кластере серверов «1С: Предприятие 8» в клиент-серверном варианте, реализованном на основе трехуровневой архитектуры «клиент-сервер». Такая архитектура разделяет всю работающую систему на основные части, определенным образом взаимодействующие между собой:</w:t>
      </w:r>
    </w:p>
    <w:p w:rsidR="0009497E" w:rsidRPr="0009497E" w:rsidRDefault="0009497E" w:rsidP="0009497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Клиентское приложение;</w:t>
      </w:r>
    </w:p>
    <w:p w:rsidR="0009497E" w:rsidRPr="0009497E" w:rsidRDefault="0009497E" w:rsidP="0009497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Веб-сервер;</w:t>
      </w:r>
    </w:p>
    <w:p w:rsidR="0009497E" w:rsidRPr="0009497E" w:rsidRDefault="0009497E" w:rsidP="0009497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Кластер серверов «1С: Предприятие»;</w:t>
      </w:r>
    </w:p>
    <w:p w:rsidR="0009497E" w:rsidRPr="0009497E" w:rsidRDefault="0009497E" w:rsidP="0009497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Кластер серверов баз данных.</w:t>
      </w:r>
    </w:p>
    <w:p w:rsidR="0009497E" w:rsidRPr="0009497E" w:rsidRDefault="0009497E" w:rsidP="0009497E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Веб-портал Итилиум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Сервером лицензий 1С и Итилиума выступает один из серверов приложения 1С предприятия.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Клиентом системы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 xml:space="preserve"> выступают браузеры и клиенты 1С, установленные на ПК пользователей системы.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Серверный состав системы ITSM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Система располагается в виртуальной инфраструктуре центра обработки данных заказчика. Виртуальные машины, используемые для нужд системы, сконфигурированы и размещены на хостах кластеров, в ресурс-пулах и хранилищах, предоставленных заказчиком.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Все виртуальные машины, используемые для функционирования системы, располагаются в подсетях, обеспечивающих взаимодействие виртуальных машин и функциональных подсистем между собой и служебными сервисами заказчика.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501"/>
      </w:tblGrid>
      <w:tr w:rsidR="0009497E" w:rsidRPr="0009497E" w:rsidTr="00BE7A46">
        <w:trPr>
          <w:tblHeader/>
        </w:trPr>
        <w:tc>
          <w:tcPr>
            <w:tcW w:w="1216" w:type="pct"/>
            <w:noWrap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Роль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</w:t>
            </w: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dmz-</w:t>
            </w:r>
            <w:r w:rsidRPr="0009497E">
              <w:rPr>
                <w:rFonts w:ascii="Tahoma" w:hAnsi="Tahoma" w:cs="Tahoma"/>
                <w:sz w:val="20"/>
                <w:szCs w:val="20"/>
              </w:rPr>
              <w:t>itsm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Публикация продуктивного сервера для внешнего веб-сервиса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msk-itsm-app02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Сервер 1С Предприятия, сервер </w:t>
            </w: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IIS</w:t>
            </w:r>
            <w:r w:rsidRPr="0009497E">
              <w:rPr>
                <w:rFonts w:ascii="Tahoma" w:hAnsi="Tahoma" w:cs="Tahoma"/>
                <w:sz w:val="20"/>
                <w:szCs w:val="20"/>
              </w:rPr>
              <w:t>, сервер лицензирования Итилиум и 1С.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msk-itsm-db01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Сервер БД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msk-itsm-</w:t>
            </w: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test17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Тестовая среда. Тестовый сервер Приложений 1С для ИТСМ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msk-itsm-</w:t>
            </w: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test</w:t>
            </w:r>
            <w:r w:rsidRPr="0009497E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Тестовая среда. ИТСМ тест sql</w:t>
            </w:r>
          </w:p>
        </w:tc>
      </w:tr>
      <w:tr w:rsidR="0009497E" w:rsidRPr="0009497E" w:rsidTr="00BE7A46">
        <w:tc>
          <w:tcPr>
            <w:tcW w:w="1216" w:type="pct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msk-es04-app97</w:t>
            </w:r>
          </w:p>
        </w:tc>
        <w:tc>
          <w:tcPr>
            <w:tcW w:w="3784" w:type="pct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Продуктивная среда bitrix - prod</w:t>
            </w:r>
          </w:p>
        </w:tc>
      </w:tr>
      <w:tr w:rsidR="0009497E" w:rsidRPr="0009497E" w:rsidTr="00BE7A46">
        <w:tc>
          <w:tcPr>
            <w:tcW w:w="1216" w:type="pct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msk-es04-app96</w:t>
            </w:r>
          </w:p>
        </w:tc>
        <w:tc>
          <w:tcPr>
            <w:tcW w:w="3784" w:type="pct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Тестовая среда bitrix - </w:t>
            </w: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test</w:t>
            </w:r>
          </w:p>
        </w:tc>
      </w:tr>
      <w:tr w:rsidR="0009497E" w:rsidRPr="0009497E" w:rsidTr="00BE7A46">
        <w:tc>
          <w:tcPr>
            <w:tcW w:w="1216" w:type="pct"/>
            <w:noWrap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lastRenderedPageBreak/>
              <w:t>msk-itsm-web01</w:t>
            </w:r>
          </w:p>
        </w:tc>
        <w:tc>
          <w:tcPr>
            <w:tcW w:w="3784" w:type="pct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Форум</w:t>
            </w:r>
          </w:p>
        </w:tc>
      </w:tr>
      <w:tr w:rsidR="0009497E" w:rsidRPr="0009497E" w:rsidTr="00BE7A46">
        <w:tc>
          <w:tcPr>
            <w:tcW w:w="1216" w:type="pct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msk-es04-ts19</w:t>
            </w:r>
          </w:p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9497E">
              <w:rPr>
                <w:rFonts w:ascii="Tahoma" w:hAnsi="Tahoma" w:cs="Tahoma"/>
                <w:sz w:val="20"/>
                <w:szCs w:val="20"/>
                <w:lang w:val="en-US"/>
              </w:rPr>
              <w:t>msk-es04-ts20</w:t>
            </w:r>
          </w:p>
        </w:tc>
        <w:tc>
          <w:tcPr>
            <w:tcW w:w="3784" w:type="pct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Продуктивная среда терминалы коллекции ITSM</w:t>
            </w:r>
          </w:p>
        </w:tc>
      </w:tr>
    </w:tbl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– для отправки. Взаимодействие с доменом осуществляется по протоколу LDAP для прозрачной авторизации в системе и синхронизации справочников бизнес-пользователей и исполнителей.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Режим функционирования Системы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Система функционирует в режиме многопользовательского доступа 24 часа в день, 7 дней в неделю.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Контактные лица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Перечень контактных лиц определяется в двустороннем порядке и оформляется после заключения договора на техническую поддержку. В случае замены контактных лиц сторона, осуществившая такую замену, должна уведомить противоположную сторону любым доступным способом в течение 2 рабочих дней.</w:t>
      </w: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Приложения к Техническому заданию:</w:t>
      </w:r>
    </w:p>
    <w:p w:rsidR="0009497E" w:rsidRPr="0009497E" w:rsidRDefault="0009497E" w:rsidP="0009497E">
      <w:pPr>
        <w:pStyle w:val="a5"/>
        <w:keepNext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Приложение №1 Правила предоставления технической поддержки;</w:t>
      </w:r>
    </w:p>
    <w:p w:rsidR="0009497E" w:rsidRPr="0009497E" w:rsidRDefault="0009497E" w:rsidP="0009497E">
      <w:pPr>
        <w:pStyle w:val="a5"/>
        <w:keepNext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Приложение №2 Требования по информационной безопасности;</w:t>
      </w:r>
    </w:p>
    <w:p w:rsidR="0009497E" w:rsidRPr="0009497E" w:rsidRDefault="0009497E" w:rsidP="0009497E">
      <w:pPr>
        <w:pStyle w:val="a5"/>
        <w:keepNext/>
        <w:tabs>
          <w:tab w:val="left" w:pos="0"/>
        </w:tabs>
        <w:spacing w:after="0" w:line="240" w:lineRule="auto"/>
        <w:ind w:left="0"/>
        <w:jc w:val="both"/>
        <w:outlineLvl w:val="0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Приложение №3 Форма заявки.</w:t>
      </w:r>
    </w:p>
    <w:p w:rsidR="0009497E" w:rsidRPr="0009497E" w:rsidRDefault="0009497E" w:rsidP="0009497E">
      <w:pPr>
        <w:pStyle w:val="a5"/>
        <w:keepNext/>
        <w:tabs>
          <w:tab w:val="left" w:pos="0"/>
        </w:tabs>
        <w:spacing w:after="0" w:line="240" w:lineRule="auto"/>
        <w:ind w:left="0"/>
        <w:outlineLvl w:val="0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pStyle w:val="a5"/>
        <w:keepNext/>
        <w:tabs>
          <w:tab w:val="left" w:pos="0"/>
        </w:tabs>
        <w:spacing w:after="0" w:line="240" w:lineRule="auto"/>
        <w:ind w:left="0"/>
        <w:outlineLvl w:val="0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br w:type="page"/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lastRenderedPageBreak/>
        <w:t>Приложение №1 к Техническому заданию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на оказание услуг по технической поддержке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системы ITSM на платформе Итилиум</w:t>
      </w:r>
      <w:r w:rsidRPr="0009497E" w:rsidDel="00F857A2">
        <w:rPr>
          <w:rFonts w:ascii="Tahoma" w:hAnsi="Tahoma" w:cs="Tahoma"/>
          <w:sz w:val="20"/>
          <w:szCs w:val="20"/>
        </w:rPr>
        <w:t xml:space="preserve">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keepNext/>
        <w:tabs>
          <w:tab w:val="left" w:pos="567"/>
        </w:tabs>
        <w:spacing w:after="0" w:line="240" w:lineRule="auto"/>
        <w:jc w:val="center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</w:rPr>
      </w:pPr>
      <w:r w:rsidRPr="0009497E">
        <w:rPr>
          <w:rFonts w:ascii="Tahoma" w:eastAsiaTheme="majorEastAsia" w:hAnsi="Tahoma" w:cs="Tahoma"/>
          <w:b/>
          <w:bCs/>
          <w:kern w:val="32"/>
          <w:sz w:val="20"/>
          <w:szCs w:val="20"/>
        </w:rPr>
        <w:t>Правила предоставления технической поддержки</w:t>
      </w:r>
    </w:p>
    <w:p w:rsidR="0009497E" w:rsidRPr="0009497E" w:rsidRDefault="0009497E" w:rsidP="0009497E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Термины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Инцидент</w:t>
      </w:r>
      <w:r w:rsidRPr="0009497E">
        <w:rPr>
          <w:rFonts w:ascii="Tahoma" w:hAnsi="Tahoma" w:cs="Tahoma"/>
          <w:sz w:val="20"/>
          <w:szCs w:val="20"/>
        </w:rPr>
        <w:t xml:space="preserve"> – несоответствие фактической работы Системы, предусмотренному в документации, появление окна с сообщением об ошибке, снижение быстродействия или зависание;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Замечание</w:t>
      </w:r>
      <w:r w:rsidRPr="0009497E">
        <w:rPr>
          <w:rFonts w:ascii="Tahoma" w:hAnsi="Tahoma" w:cs="Tahoma"/>
          <w:sz w:val="20"/>
          <w:szCs w:val="20"/>
        </w:rPr>
        <w:t xml:space="preserve"> – замечание или предложение, поступившее от Пользователя по работе системы, связанное, в том числе, с расширением функциональности системы;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Запрос на обслуживание</w:t>
      </w:r>
      <w:r w:rsidRPr="0009497E">
        <w:rPr>
          <w:rFonts w:ascii="Tahoma" w:hAnsi="Tahoma" w:cs="Tahoma"/>
          <w:sz w:val="20"/>
          <w:szCs w:val="20"/>
        </w:rPr>
        <w:t xml:space="preserve"> – изменение содержимого системных справочников, распределение ролей, настройка групп пользователей, правил обработки заявок и нарядов и иные задачи, связанные с настройкой содержимого Системы;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Консультация</w:t>
      </w:r>
      <w:r w:rsidRPr="0009497E">
        <w:rPr>
          <w:rFonts w:ascii="Tahoma" w:hAnsi="Tahoma" w:cs="Tahoma"/>
          <w:sz w:val="20"/>
          <w:szCs w:val="20"/>
        </w:rPr>
        <w:t xml:space="preserve"> (запрос информации) – проведение пояснения Пользователю по работе в Системе, уточнение каких-либо непонятных моментов;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Приоритет</w:t>
      </w:r>
      <w:r w:rsidRPr="0009497E">
        <w:rPr>
          <w:rFonts w:ascii="Tahoma" w:hAnsi="Tahoma" w:cs="Tahoma"/>
          <w:sz w:val="20"/>
          <w:szCs w:val="20"/>
        </w:rPr>
        <w:t xml:space="preserve"> – совокупная оценка степени влияния инцидента на бизнес-процессы Заказчика.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 xml:space="preserve">Срок реакции </w:t>
      </w:r>
      <w:r w:rsidRPr="0009497E">
        <w:rPr>
          <w:rFonts w:ascii="Tahoma" w:hAnsi="Tahoma" w:cs="Tahoma"/>
          <w:sz w:val="20"/>
          <w:szCs w:val="20"/>
        </w:rPr>
        <w:t>–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Обращение</w:t>
      </w:r>
      <w:r w:rsidRPr="0009497E">
        <w:rPr>
          <w:rFonts w:ascii="Tahoma" w:hAnsi="Tahoma" w:cs="Tahoma"/>
          <w:sz w:val="20"/>
          <w:szCs w:val="20"/>
        </w:rPr>
        <w:t xml:space="preserve"> – заявка, направленная в систему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 xml:space="preserve"> заказчика или направленная иным способом.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Обходное решение</w:t>
      </w:r>
      <w:r w:rsidRPr="0009497E">
        <w:rPr>
          <w:rFonts w:ascii="Tahoma" w:hAnsi="Tahoma" w:cs="Tahoma"/>
          <w:sz w:val="20"/>
          <w:szCs w:val="20"/>
        </w:rPr>
        <w:t xml:space="preserve"> – метод, позволяющий избежать инцидента или проблемы с помощью временного решения или иным способом, устраняющим зависимость Потребителя от проблемных аспектов Системы.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Эскалация</w:t>
      </w:r>
      <w:r w:rsidRPr="0009497E">
        <w:rPr>
          <w:rFonts w:ascii="Tahoma" w:hAnsi="Tahoma" w:cs="Tahoma"/>
          <w:sz w:val="20"/>
          <w:szCs w:val="20"/>
        </w:rPr>
        <w:t xml:space="preserve"> – процедура передачи запроса на более высокий уровень поддержки в случае, если его не удалось разрешить на текущем уровне.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2" w:name="_Toc207425754"/>
      <w:bookmarkStart w:id="3" w:name="_Toc207429794"/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4" w:name="_Toc207429797"/>
      <w:bookmarkStart w:id="5" w:name="_Toc207781768"/>
      <w:bookmarkEnd w:id="2"/>
      <w:bookmarkEnd w:id="3"/>
      <w:r w:rsidRPr="0009497E">
        <w:rPr>
          <w:rFonts w:ascii="Tahoma" w:hAnsi="Tahoma" w:cs="Tahoma"/>
          <w:b/>
          <w:sz w:val="20"/>
          <w:szCs w:val="20"/>
        </w:rPr>
        <w:t>Порядок предоставления услуг</w:t>
      </w:r>
      <w:bookmarkEnd w:id="4"/>
      <w:bookmarkEnd w:id="5"/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Для получения услуг по Договору Заказчик направляет заявки в Систему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 xml:space="preserve">. На каждый вопрос Пользователя или на возникающую ошибку в системе оформляется одно Обращение. 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В случае невозможности регистрации и/или обработки Обращения в Системе </w:t>
      </w:r>
      <w:r w:rsidRPr="0009497E">
        <w:rPr>
          <w:rFonts w:ascii="Tahoma" w:hAnsi="Tahoma" w:cs="Tahoma"/>
          <w:sz w:val="20"/>
          <w:szCs w:val="20"/>
          <w:lang w:val="en-US"/>
        </w:rPr>
        <w:t>ITSM</w:t>
      </w:r>
      <w:r w:rsidRPr="0009497E">
        <w:rPr>
          <w:rFonts w:ascii="Tahoma" w:hAnsi="Tahoma" w:cs="Tahoma"/>
          <w:sz w:val="20"/>
          <w:szCs w:val="20"/>
        </w:rPr>
        <w:t xml:space="preserve">, Заказчик подает Заявку в Сервис Деск Исполнителя по электронной почте или по телефону.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Обращение составляется на любое логически обособленное и ясно сформулированное требование Пользователя (специалиста Заказчика) на консультирование, предоставление услуг, поддержку и обслуживание, любое изменение или разрешение возникшей проблемы (ошибки) при работе с Системой.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Заявка может быть отправлена Пользователем в электронном виде на адрес Системы либо заведена самостоятельно, через интерфейс Системы. Порядок и правила оформления Заявок указываются в Правилах предоставления технической поддержки Системы.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Приоритет заявки указывается Заказчиком при подаче заявки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647"/>
      </w:tblGrid>
      <w:tr w:rsidR="0009497E" w:rsidRPr="0009497E" w:rsidTr="00BE7A46">
        <w:trPr>
          <w:trHeight w:val="413"/>
        </w:trPr>
        <w:tc>
          <w:tcPr>
            <w:tcW w:w="1271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Приоритет</w:t>
            </w:r>
          </w:p>
        </w:tc>
        <w:tc>
          <w:tcPr>
            <w:tcW w:w="8647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Описание проблемы и действия Исполнителя по Заявке</w:t>
            </w:r>
          </w:p>
        </w:tc>
      </w:tr>
      <w:tr w:rsidR="0009497E" w:rsidRPr="0009497E" w:rsidTr="00BE7A46">
        <w:trPr>
          <w:trHeight w:val="986"/>
        </w:trPr>
        <w:tc>
          <w:tcPr>
            <w:tcW w:w="1271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Критичный</w:t>
            </w:r>
          </w:p>
        </w:tc>
        <w:tc>
          <w:tcPr>
            <w:tcW w:w="8647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Заявка требует немедленной реакции и имеет критичное влияние на работоспособность приложения и выполнение бизнес-процессов. Приложение неработоспособно у пользователя, либо невозможно выполнение бизнес-процессов пользователем ни при каких условиях. Ситуация немедленно доводится до руководства Исполнителя. Проблема начинает решаться немед</w:t>
            </w:r>
            <w:r w:rsidRPr="0009497E">
              <w:rPr>
                <w:rFonts w:ascii="Tahoma" w:hAnsi="Tahoma" w:cs="Tahoma"/>
                <w:sz w:val="20"/>
                <w:szCs w:val="20"/>
              </w:rPr>
              <w:softHyphen/>
              <w:t>ленно всеми возмож</w:t>
            </w:r>
            <w:r w:rsidRPr="0009497E">
              <w:rPr>
                <w:rFonts w:ascii="Tahoma" w:hAnsi="Tahoma" w:cs="Tahoma"/>
                <w:sz w:val="20"/>
                <w:szCs w:val="20"/>
              </w:rPr>
              <w:softHyphen/>
              <w:t>ны</w:t>
            </w:r>
            <w:r w:rsidRPr="0009497E">
              <w:rPr>
                <w:rFonts w:ascii="Tahoma" w:hAnsi="Tahoma" w:cs="Tahoma"/>
                <w:sz w:val="20"/>
                <w:szCs w:val="20"/>
              </w:rPr>
              <w:softHyphen/>
              <w:t>ми способами и ресурсами Исполнителя до ее полного разрешения.</w:t>
            </w:r>
          </w:p>
        </w:tc>
      </w:tr>
      <w:tr w:rsidR="0009497E" w:rsidRPr="0009497E" w:rsidTr="00BE7A46">
        <w:trPr>
          <w:trHeight w:val="758"/>
        </w:trPr>
        <w:tc>
          <w:tcPr>
            <w:tcW w:w="1271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Высокий</w:t>
            </w:r>
          </w:p>
        </w:tc>
        <w:tc>
          <w:tcPr>
            <w:tcW w:w="8647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Имеет высокое влияние на работоспособность приложения и выполнение бизнес-процессов. Выполнение бизнес-процессов возможно каким-либо другим путем. Руководство Исполнителя ставится в известность о возникшей проблеме.</w:t>
            </w:r>
          </w:p>
        </w:tc>
      </w:tr>
      <w:tr w:rsidR="0009497E" w:rsidRPr="0009497E" w:rsidTr="00BE7A46">
        <w:trPr>
          <w:cantSplit/>
          <w:trHeight w:val="70"/>
        </w:trPr>
        <w:tc>
          <w:tcPr>
            <w:tcW w:w="1271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Средний</w:t>
            </w:r>
          </w:p>
        </w:tc>
        <w:tc>
          <w:tcPr>
            <w:tcW w:w="8647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Не оказывает большого влияния на работоспособность приложения, минимально задействует функциональность основных бизнес-процессов.</w:t>
            </w:r>
          </w:p>
        </w:tc>
      </w:tr>
      <w:tr w:rsidR="0009497E" w:rsidRPr="0009497E" w:rsidTr="00BE7A46">
        <w:trPr>
          <w:trHeight w:val="70"/>
        </w:trPr>
        <w:tc>
          <w:tcPr>
            <w:tcW w:w="1271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Низкий</w:t>
            </w:r>
          </w:p>
        </w:tc>
        <w:tc>
          <w:tcPr>
            <w:tcW w:w="8647" w:type="dxa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Имеет минимальное влияние на работоспособность приложения, не задействует работоспособность основных бизнес-процессов.</w:t>
            </w:r>
          </w:p>
        </w:tc>
      </w:tr>
    </w:tbl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6" w:name="_Toc207429798"/>
      <w:bookmarkStart w:id="7" w:name="_Toc207781769"/>
      <w:r w:rsidRPr="0009497E">
        <w:rPr>
          <w:rFonts w:ascii="Tahoma" w:hAnsi="Tahoma" w:cs="Tahoma"/>
          <w:b/>
          <w:sz w:val="20"/>
          <w:szCs w:val="20"/>
        </w:rPr>
        <w:t>Время предоставления услуг</w:t>
      </w:r>
      <w:bookmarkEnd w:id="6"/>
      <w:bookmarkEnd w:id="7"/>
      <w:r w:rsidRPr="0009497E">
        <w:rPr>
          <w:rFonts w:ascii="Tahoma" w:hAnsi="Tahoma" w:cs="Tahoma"/>
          <w:b/>
          <w:sz w:val="20"/>
          <w:szCs w:val="20"/>
        </w:rPr>
        <w:t xml:space="preserve"> при штатной работе Системы</w:t>
      </w:r>
    </w:p>
    <w:p w:rsidR="0009497E" w:rsidRPr="0009497E" w:rsidRDefault="0009497E" w:rsidP="0009497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 рабочим дням (понедельник – пятница) с 07:00 до 16:00 часов (время московское), или по отдельному соглашению.</w:t>
      </w:r>
    </w:p>
    <w:p w:rsidR="0009497E" w:rsidRPr="0009497E" w:rsidRDefault="0009497E" w:rsidP="0009497E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 праздничные, выходные дни по отдельному соглашению.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8" w:name="_Toc207429799"/>
      <w:bookmarkStart w:id="9" w:name="_Toc207781770"/>
      <w:r w:rsidRPr="0009497E">
        <w:rPr>
          <w:rFonts w:ascii="Tahoma" w:hAnsi="Tahoma" w:cs="Tahoma"/>
          <w:b/>
          <w:sz w:val="20"/>
          <w:szCs w:val="20"/>
        </w:rPr>
        <w:t>Доступность, оперативность сервиса</w:t>
      </w:r>
      <w:bookmarkEnd w:id="8"/>
      <w:bookmarkEnd w:id="9"/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lastRenderedPageBreak/>
        <w:t>Исполнитель в рамках предоставления услуг по Договору будет прилагать все усилия для разрешения возникающих у Заказчика проблем в пределах, установленных в данном разделе норм с учетом времени предоставления услуг согласно п. 3.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Порядок обработки Заявок определяется их приоритетностью. Исполнитель рассматривает Заявки по мере их поступления. В случае если в момент поступления Заявки Исполнителем оказываются услуги над другой Заявкой с таким же приоритетом, то новая Заявка ставится в очередь. При необходимости Исполнитель сообщает Заказчику ориентировочный срок рассмотрения Заявки.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b/>
          <w:sz w:val="20"/>
          <w:szCs w:val="20"/>
          <w:highlight w:val="yellow"/>
        </w:rPr>
      </w:pPr>
      <w:r w:rsidRPr="0009497E">
        <w:rPr>
          <w:rFonts w:ascii="Tahoma" w:hAnsi="Tahoma" w:cs="Tahoma"/>
          <w:b/>
          <w:sz w:val="20"/>
          <w:szCs w:val="20"/>
        </w:rPr>
        <w:t>4.1 Состав услуг, оказываемых Исполнителем в рамках взаимодействия через систему          1С Итилиум</w:t>
      </w:r>
      <w:r w:rsidRPr="0009497E" w:rsidDel="006132CC">
        <w:rPr>
          <w:rFonts w:ascii="Tahoma" w:hAnsi="Tahoma" w:cs="Tahoma"/>
          <w:b/>
          <w:sz w:val="20"/>
          <w:szCs w:val="20"/>
          <w:highlight w:val="yellow"/>
        </w:rPr>
        <w:t xml:space="preserve">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tbl>
      <w:tblPr>
        <w:tblW w:w="10349" w:type="dxa"/>
        <w:tblInd w:w="-28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2978"/>
        <w:gridCol w:w="140"/>
        <w:gridCol w:w="1702"/>
        <w:gridCol w:w="1843"/>
        <w:gridCol w:w="1843"/>
        <w:gridCol w:w="1843"/>
      </w:tblGrid>
      <w:tr w:rsidR="0009497E" w:rsidRPr="0009497E" w:rsidTr="00BE7A46">
        <w:trPr>
          <w:trHeight w:val="611"/>
        </w:trPr>
        <w:tc>
          <w:tcPr>
            <w:tcW w:w="29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noWrap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Поддержка бизнес-приложений (2-3 Линия)</w:t>
            </w:r>
          </w:p>
        </w:tc>
        <w:tc>
          <w:tcPr>
            <w:tcW w:w="1842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1 Приоритет – Критический</w:t>
            </w:r>
          </w:p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2 Приоритет – Высокий</w:t>
            </w:r>
          </w:p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3 Приоритет – Средний</w:t>
            </w:r>
          </w:p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 Приоритет – Низкий (рабочий час)</w:t>
            </w:r>
          </w:p>
        </w:tc>
      </w:tr>
      <w:tr w:rsidR="0009497E" w:rsidRPr="0009497E" w:rsidTr="00BE7A46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/>
                <w:sz w:val="20"/>
                <w:szCs w:val="20"/>
              </w:rPr>
              <w:t>Консультирование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EDEDED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EDEDED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</w:tr>
      <w:tr w:rsidR="0009497E" w:rsidRPr="0009497E" w:rsidTr="00BE7A46">
        <w:trPr>
          <w:trHeight w:val="300"/>
        </w:trPr>
        <w:tc>
          <w:tcPr>
            <w:tcW w:w="3118" w:type="dxa"/>
            <w:gridSpan w:val="2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/>
                <w:sz w:val="20"/>
                <w:szCs w:val="20"/>
              </w:rPr>
              <w:t>Предоставление/изменение прав доступа</w:t>
            </w:r>
          </w:p>
        </w:tc>
        <w:tc>
          <w:tcPr>
            <w:tcW w:w="1702" w:type="dxa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843" w:type="dxa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3" w:type="dxa"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24</w:t>
            </w:r>
          </w:p>
        </w:tc>
      </w:tr>
      <w:tr w:rsidR="0009497E" w:rsidRPr="0009497E" w:rsidTr="00BE7A46">
        <w:trPr>
          <w:trHeight w:val="300"/>
        </w:trPr>
        <w:tc>
          <w:tcPr>
            <w:tcW w:w="3118" w:type="dxa"/>
            <w:gridSpan w:val="2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/>
                <w:sz w:val="20"/>
                <w:szCs w:val="20"/>
              </w:rPr>
              <w:t>Устранение некорректных действий пользователей</w:t>
            </w:r>
          </w:p>
        </w:tc>
        <w:tc>
          <w:tcPr>
            <w:tcW w:w="1702" w:type="dxa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noWrap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</w:tr>
      <w:tr w:rsidR="0009497E" w:rsidRPr="0009497E" w:rsidTr="00BE7A46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/>
                <w:sz w:val="20"/>
                <w:szCs w:val="20"/>
              </w:rPr>
              <w:t>Решение проблем/устранение сбоя (Решение Инцидента)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</w:tr>
      <w:tr w:rsidR="0009497E" w:rsidRPr="0009497E" w:rsidTr="00BE7A46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/>
                <w:sz w:val="20"/>
                <w:szCs w:val="20"/>
              </w:rPr>
              <w:t>Изменение данных/массовое изменение данных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09497E">
              <w:rPr>
                <w:rFonts w:ascii="Tahoma" w:hAnsi="Tahoma" w:cs="Tahoma"/>
                <w:color w:val="000000" w:themeColor="text1"/>
                <w:sz w:val="20"/>
                <w:szCs w:val="20"/>
              </w:rPr>
              <w:t>80</w:t>
            </w:r>
          </w:p>
        </w:tc>
      </w:tr>
    </w:tbl>
    <w:p w:rsidR="0009497E" w:rsidRPr="0009497E" w:rsidRDefault="0009497E" w:rsidP="0009497E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10" w:name="_Toc207429801"/>
      <w:bookmarkStart w:id="11" w:name="_Toc207781772"/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>Управление нештатными ситуациями</w:t>
      </w:r>
      <w:bookmarkEnd w:id="10"/>
      <w:bookmarkEnd w:id="11"/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В случае если Исполнитель предвидит невозможность исполнения обязательств в соответствии с принятым уровнем сервиса или в полном объеме,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Исполнитель должен вести реестр нештатных ситуаций, содержащий основные риски по всем типам услуг, и там, где возможно, механизмы их предотвращения. Исполнитель должен периодически пересматривать реестр и принимать разумные меры для снижения последствий нештатных ситуаций.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При возникновении нештатной ситуации исполнитель должен реагировать на заявку Заказчика в соответствии с Критичным приоритетом, независимо от Пункта 3 настоящего Приложения и отразить Фактические трудозатраты за Отчетный период в Акте оказанных Услуг.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bookmarkStart w:id="12" w:name="_Toc207425757"/>
      <w:bookmarkStart w:id="13" w:name="_Toc207429805"/>
      <w:r w:rsidRPr="0009497E">
        <w:rPr>
          <w:rFonts w:ascii="Tahoma" w:hAnsi="Tahoma" w:cs="Tahoma"/>
          <w:b/>
          <w:sz w:val="20"/>
          <w:szCs w:val="20"/>
        </w:rPr>
        <w:t>Регулярная отчётность</w:t>
      </w:r>
      <w:bookmarkEnd w:id="12"/>
      <w:bookmarkEnd w:id="13"/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>Ежемесячно Исполнитель обязан предоставлять Заказчику следующую информацию о ходе оказания услуг: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5538"/>
        <w:gridCol w:w="1843"/>
        <w:gridCol w:w="1984"/>
      </w:tblGrid>
      <w:tr w:rsidR="0009497E" w:rsidRPr="0009497E" w:rsidTr="00BE7A46">
        <w:trPr>
          <w:tblHeader/>
        </w:trPr>
        <w:tc>
          <w:tcPr>
            <w:tcW w:w="445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5538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Документ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Порядок предоставления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Форма</w:t>
            </w:r>
          </w:p>
        </w:tc>
      </w:tr>
      <w:tr w:rsidR="0009497E" w:rsidRPr="0009497E" w:rsidTr="00BE7A46">
        <w:tc>
          <w:tcPr>
            <w:tcW w:w="445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38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Ежемесячный отчет о поступивших от Заказчика заявках по вопросам эксплуатации Системы, включающий следующую информацию: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количество решенных инцидентов и объем часов, затраченных Исполнителем; 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открытые заявки, сроки их решения;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план услуг на следующий месяц; 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жалобы пользователей; 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нарушение сроков реакции и сроков решения (фиксируется количество времени и причина просрочки по каждой заявке); </w:t>
            </w:r>
          </w:p>
          <w:p w:rsidR="0009497E" w:rsidRPr="0009497E" w:rsidRDefault="0009497E" w:rsidP="0009497E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замечания и предложения сторон. </w:t>
            </w:r>
          </w:p>
        </w:tc>
        <w:tc>
          <w:tcPr>
            <w:tcW w:w="1843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 xml:space="preserve">В электронном виде </w:t>
            </w:r>
          </w:p>
        </w:tc>
        <w:tc>
          <w:tcPr>
            <w:tcW w:w="1984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Информационный отчет</w:t>
            </w:r>
          </w:p>
        </w:tc>
      </w:tr>
      <w:tr w:rsidR="0009497E" w:rsidRPr="0009497E" w:rsidTr="00BE7A46">
        <w:tc>
          <w:tcPr>
            <w:tcW w:w="445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38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Отчетные бухгалтерские документы о предоставленных услугах за отчетный период</w:t>
            </w:r>
          </w:p>
        </w:tc>
        <w:tc>
          <w:tcPr>
            <w:tcW w:w="1843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В соответствии с договором</w:t>
            </w:r>
          </w:p>
        </w:tc>
        <w:tc>
          <w:tcPr>
            <w:tcW w:w="1984" w:type="dxa"/>
          </w:tcPr>
          <w:p w:rsidR="0009497E" w:rsidRPr="0009497E" w:rsidRDefault="0009497E" w:rsidP="0009497E">
            <w:pPr>
              <w:tabs>
                <w:tab w:val="left" w:pos="567"/>
              </w:tabs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9497E">
              <w:rPr>
                <w:rFonts w:ascii="Tahoma" w:hAnsi="Tahoma" w:cs="Tahoma"/>
                <w:sz w:val="20"/>
                <w:szCs w:val="20"/>
              </w:rPr>
              <w:t>Акт оказанных услуг, счет и счет-фактура</w:t>
            </w:r>
          </w:p>
        </w:tc>
      </w:tr>
    </w:tbl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br w:type="page"/>
      </w:r>
    </w:p>
    <w:p w:rsidR="0009497E" w:rsidRPr="0009497E" w:rsidRDefault="0009497E" w:rsidP="0009497E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lastRenderedPageBreak/>
        <w:t>Приложение №2 к Техническому заданию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на оказание услуг по технической поддержке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системы ITSM на платформе Итилиум</w:t>
      </w:r>
      <w:r w:rsidRPr="0009497E" w:rsidDel="00F857A2">
        <w:rPr>
          <w:rFonts w:ascii="Tahoma" w:hAnsi="Tahoma" w:cs="Tahoma"/>
          <w:sz w:val="20"/>
          <w:szCs w:val="20"/>
        </w:rPr>
        <w:t xml:space="preserve"> </w:t>
      </w:r>
    </w:p>
    <w:p w:rsidR="0009497E" w:rsidRPr="0009497E" w:rsidRDefault="00BA5AF5" w:rsidP="0009497E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>от 13.10.2025</w:t>
      </w:r>
    </w:p>
    <w:p w:rsidR="00BE081C" w:rsidRPr="00C104B0" w:rsidRDefault="00BE081C" w:rsidP="00BE081C">
      <w:pPr>
        <w:tabs>
          <w:tab w:val="left" w:pos="993"/>
          <w:tab w:val="left" w:pos="1134"/>
        </w:tabs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BE081C" w:rsidRPr="00C104B0" w:rsidRDefault="00BE081C" w:rsidP="00BE081C">
      <w:pPr>
        <w:tabs>
          <w:tab w:val="left" w:pos="993"/>
          <w:tab w:val="left" w:pos="1134"/>
        </w:tabs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C104B0">
        <w:rPr>
          <w:rFonts w:ascii="Tahoma" w:hAnsi="Tahoma" w:cs="Tahoma"/>
          <w:b/>
          <w:sz w:val="20"/>
          <w:szCs w:val="20"/>
        </w:rPr>
        <w:t>ТРЕБОВАНИЯ ПО ИНФОРМАЦИОННОЙ БЕЗОПАСНОСТИ</w:t>
      </w:r>
    </w:p>
    <w:p w:rsidR="00BE081C" w:rsidRPr="00C104B0" w:rsidRDefault="00BE081C" w:rsidP="00BE081C">
      <w:pPr>
        <w:tabs>
          <w:tab w:val="left" w:pos="993"/>
          <w:tab w:val="left" w:pos="1134"/>
        </w:tabs>
        <w:spacing w:after="0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C104B0">
        <w:rPr>
          <w:rFonts w:ascii="Tahoma" w:hAnsi="Tahoma" w:cs="Tahoma"/>
          <w:bCs/>
          <w:sz w:val="20"/>
          <w:szCs w:val="20"/>
        </w:rPr>
        <w:t>в части предоставления удаленного доступа третьим лицам,</w:t>
      </w:r>
      <w:r w:rsidRPr="00C104B0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не являющихся работниками </w:t>
      </w:r>
      <w:r w:rsidRPr="00C104B0">
        <w:rPr>
          <w:rFonts w:ascii="Tahoma" w:hAnsi="Tahoma" w:cs="Tahoma"/>
          <w:bCs/>
          <w:sz w:val="20"/>
          <w:szCs w:val="20"/>
        </w:rPr>
        <w:t>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выполняющих работу и (или) оказывающих услуги по заказу Общества</w:t>
      </w:r>
    </w:p>
    <w:p w:rsidR="00BE081C" w:rsidRPr="00C104B0" w:rsidRDefault="00BE081C" w:rsidP="00BE081C">
      <w:pPr>
        <w:tabs>
          <w:tab w:val="left" w:pos="993"/>
          <w:tab w:val="left" w:pos="1134"/>
        </w:tabs>
        <w:spacing w:after="0"/>
        <w:jc w:val="center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24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Термины и определения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Исполнитель, третье лицо – лицо, не являющееся работником Общества (юридические лица, индивидуальные предприниматели, исполнители по договорам ГПХ, в том числе физические лица – плательщики НПД (самозанятые)), выполняющее работу и (или) оказывающее услуги по заказу Общества.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Заказчик, Общество - юридическое лицо, входящее в Группу компаний «Т Плюс».</w:t>
      </w: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24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Нормативная база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</w:pPr>
      <w:r w:rsidRPr="00C104B0">
        <w:t>Федеральный закон Российской Федерации от 29.07.2004 № 98-ФЗ «О коммерческой тайне».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Федеральный закон от 27.07.2006 № 149-ФЗ «Об информации, информационных технологиях и о защите информации».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</w:pPr>
      <w:r w:rsidRPr="00C104B0">
        <w:t>Федеральный закон Российской Федерации Ф от 27.07.2006 № 152-ФЗ «О персональных данных».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Федеральный закон от 26.07.2017 № 187-ФЗ «О безопасности критической информационной инфраструктуры Российской Федерации».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</w:pPr>
      <w:r w:rsidRPr="00C104B0">
        <w:t>Постановление Правительства Российской Федерации от 01.11.2012 № 1119 "Об утверждении требований к защите персональных данных при их обработке в информационных системах персональных данных.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Приказ ФСТЭК России от 18.02.2013 № 21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Приказ ФСТЭК России от 14.03.2014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Приказ ФСТЭК России от 25.12.2017 № 239 «Об утверждении требований по обеспечению безопасности ЗОКИИ».</w:t>
      </w: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24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Общие требования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Исполнитель при необходимости подключения собственного оборудования к ИТ-инфраструктуре Заказчика обязан предварительно в письменной форме согласовать такое подключение с Заказчиком и соблюсти требования по защите подключаемого оборудования не ниже класса защищенности 1Г в соответствии с руководящим документом «Автоматизированные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утвержденным решением председателя Государственной технической комиссии при Президенте Российской Федерации от 30 марта 1992 г.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Исполнитель для подключения собственного оборудования к сети Заказчика обязан:</w:t>
      </w:r>
    </w:p>
    <w:p w:rsidR="00BE081C" w:rsidRPr="00C104B0" w:rsidRDefault="00BE081C" w:rsidP="00BE081C">
      <w:pPr>
        <w:pStyle w:val="ab"/>
        <w:numPr>
          <w:ilvl w:val="2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Предоставить аттестат соответствия требованиям защиты информации по классу не ниже «1Г» на подключаемое оборудование.</w:t>
      </w:r>
    </w:p>
    <w:p w:rsidR="00BE081C" w:rsidRPr="00C104B0" w:rsidRDefault="00BE081C" w:rsidP="00BE081C">
      <w:pPr>
        <w:pStyle w:val="ab"/>
        <w:numPr>
          <w:ilvl w:val="2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lastRenderedPageBreak/>
        <w:t xml:space="preserve">Заключить соглашение о неразглашении информации (NDA) для </w:t>
      </w:r>
      <w:r w:rsidR="00783A56">
        <w:rPr>
          <w:color w:val="000000" w:themeColor="text1"/>
        </w:rPr>
        <w:t>оказания услуг</w:t>
      </w:r>
      <w:r w:rsidRPr="00C104B0">
        <w:rPr>
          <w:color w:val="000000" w:themeColor="text1"/>
        </w:rPr>
        <w:t xml:space="preserve"> в режиме удаленного доступа.</w:t>
      </w:r>
    </w:p>
    <w:p w:rsidR="00BE081C" w:rsidRPr="00C104B0" w:rsidRDefault="00BE081C" w:rsidP="00BE081C">
      <w:pPr>
        <w:pStyle w:val="ab"/>
        <w:numPr>
          <w:ilvl w:val="2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Направить Заказчику заявку в установленной форме (п 4.4) с перечнем лиц, для которых необходимо предоставить удаленный доступ.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Для </w:t>
      </w:r>
      <w:r w:rsidR="00783A56">
        <w:rPr>
          <w:color w:val="000000" w:themeColor="text1"/>
        </w:rPr>
        <w:t>оказания услуг</w:t>
      </w:r>
      <w:r w:rsidRPr="00C104B0">
        <w:rPr>
          <w:color w:val="000000" w:themeColor="text1"/>
        </w:rPr>
        <w:t xml:space="preserve"> Исполнителем в режиме удаленного доступа договор с Исполнителем должен содержать: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оговорку о дистанционном характере </w:t>
      </w:r>
      <w:r w:rsidR="00783A56">
        <w:rPr>
          <w:color w:val="000000" w:themeColor="text1"/>
        </w:rPr>
        <w:t>оказания услуг</w:t>
      </w:r>
      <w:r w:rsidRPr="00C104B0">
        <w:rPr>
          <w:color w:val="000000" w:themeColor="text1"/>
        </w:rPr>
        <w:t>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соглашение о полном соответствии настоящим Требованиям для подключения персонала Исполнителя к ИТ-инфраструктуре Общества.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Все сведения о составе и характеристиках объектов Заказчика и их компонентах являются конфиденциальной информацией и распространению не подлежат в период действия договорных отношений и после прекращения договорных отношений в течение 10 лет (в случае, если иное не предусмотрено договором).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Исполнитель обязуется: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проводить противозаконные действия (не ограничиваясь указанным: фальсификация, модификация, блокировка, уничтожение или искажение) по сбору, использованию и передаче третьей стороне информации, циркулирующей и хранящейся у Заказчика;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осуществлять несанкционированный доступ к информационным ресурсам Заказчика;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проводить незаконное копирование информации, циркулирующей или хранящейся у Заказчика;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нарушать технологию сбора, накопления, хранения, обработки, преобразования, отображения и передачи информации, в результате чего может быть осуществлено искажение, потеря или незаконное использование информации;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внедрять в объекты Заказчика программы-вирусы (загрузочные, файловые и др.);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устанавливать программные и аппаратные закладные устройства в технические средства Заказчика;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распространять конфиденциальную информацию о выполняемых работах и полученных результатах;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использовать решения для удаленного доступа, определенные Заказчиком;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color w:val="000000" w:themeColor="text1"/>
        </w:rPr>
      </w:pPr>
      <w:r w:rsidRPr="00C104B0">
        <w:rPr>
          <w:rFonts w:eastAsia="Times New Roman"/>
          <w:color w:val="000000" w:themeColor="text1"/>
          <w:lang w:eastAsia="ru-RU"/>
        </w:rPr>
        <w:t>использ</w:t>
      </w:r>
      <w:r w:rsidRPr="00C104B0">
        <w:rPr>
          <w:color w:val="000000" w:themeColor="text1"/>
        </w:rPr>
        <w:t>овать удаленный доступ только в целях исполнения договорных обязанностей между Исполнителем и Заказчиком.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Авторизация работника Исполнителя должна осуществляться под персональными учетными записями, выданными Заказчиком. Использование чужих учетных записей, выданных другим работникам, не допускается.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Работник Исполнителя должен принимать меры по защите предоставленных Заказчиком учетных данных и не допускать неавторизованного доступа других лиц к информационным ресурсам Заказчика.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Исполнитель осуществляет дистанционное подключение к ресурсам Заказчика только с использованием статического IP адреса, согласованного с Заказчиком. Доступ с неизвестных Заказчику IP адресов может блокироваться техническими средствами Заказчика.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Исполнитель обеспечивает выполнение условия, что все ресурсы, с которых осуществляется удаленное подключение, в том числе АРМ пользователя и другие технические средства и информационные сервисы, географически размещены на территории Российской Федерации.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Запрещается подключение работников Исполнителя к ресурсам Заказчика с IP-адресов, расположенных за пределами РФ, (в том числе с использованием VPN-провайдеров, узлов TOR и подсетей хостинговых компаний (VPS/VDS), расположенных на территории РФ).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При осуществлении удаленного подключения персонала Исполнителя к объектам информационной или технологической инфраструктуры Заказчика посредством не принадлежащего Заказчику компьютера или иного средства вычислительной техники (ноутбук, мобильное устройство, далее </w:t>
      </w:r>
      <w:r w:rsidRPr="00C104B0">
        <w:rPr>
          <w:color w:val="000000" w:themeColor="text1"/>
        </w:rPr>
        <w:lastRenderedPageBreak/>
        <w:t>- Оборудование), если это предусмотрено Техническим заданием на работы, такое оборудование должно соответствовать следующим требованиям: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rFonts w:eastAsia="Times New Roman"/>
          <w:color w:val="000000" w:themeColor="text1"/>
          <w:lang w:eastAsia="ru-RU"/>
        </w:rPr>
      </w:pPr>
      <w:r w:rsidRPr="00C104B0">
        <w:rPr>
          <w:rFonts w:eastAsia="Times New Roman"/>
          <w:color w:val="000000" w:themeColor="text1"/>
          <w:lang w:eastAsia="ru-RU"/>
        </w:rPr>
        <w:t>на Оборудовании должно быть установлено лицензионное общесистемное программное обеспечение, находящееся на поддержке производителя, с установленными актуальными обновлениями, включая обновления безопасности;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rFonts w:eastAsia="Times New Roman"/>
          <w:color w:val="000000" w:themeColor="text1"/>
          <w:lang w:eastAsia="ru-RU"/>
        </w:rPr>
      </w:pPr>
      <w:r w:rsidRPr="00C104B0">
        <w:rPr>
          <w:rFonts w:eastAsia="Times New Roman"/>
          <w:color w:val="000000" w:themeColor="text1"/>
          <w:lang w:eastAsia="ru-RU"/>
        </w:rPr>
        <w:t>на Оборудовании должно быть установлено и функционировать сертифицированное средство антивирусной защиты, включённое в Единый реестр российских программ для ЭВМ и БД, с актуальными антивирусными базами (дата обновления не старше одного дня);</w:t>
      </w:r>
    </w:p>
    <w:p w:rsidR="00BE081C" w:rsidRPr="00C104B0" w:rsidRDefault="00BE081C" w:rsidP="00BE081C">
      <w:pPr>
        <w:pStyle w:val="a"/>
        <w:tabs>
          <w:tab w:val="left" w:pos="1134"/>
        </w:tabs>
        <w:spacing w:before="0" w:after="40" w:line="276" w:lineRule="auto"/>
        <w:ind w:left="0" w:firstLine="567"/>
        <w:rPr>
          <w:rFonts w:eastAsia="Times New Roman"/>
          <w:color w:val="000000" w:themeColor="text1"/>
          <w:lang w:eastAsia="ru-RU"/>
        </w:rPr>
      </w:pPr>
      <w:r w:rsidRPr="00C104B0">
        <w:rPr>
          <w:rFonts w:eastAsia="Times New Roman"/>
          <w:color w:val="000000" w:themeColor="text1"/>
          <w:lang w:eastAsia="ru-RU"/>
        </w:rPr>
        <w:t xml:space="preserve">отчет о полной проверке средством антивирусной защиты текущего состояния Оборудования (дата отчета не старше двух дней) не должен содержать событий выявления ВПО или иных событий безопасности.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Удаленный доступ пользователей к информационным и/или технологическим ресурсам Заказчика, являющихся значимыми объектами критической информационной инфраструктуры (далее - ЗОКИИ), запрещен. В случае необходимости проведения работ на ЗОКИИ, подключение сторонних пользователей к таким объектам и их компонентам допускается только локально (очно) на территории площадок Заказчика.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Исполнитель самостоятельно осуществляет выбор провайдера услуг Интернет, координацию установки оборудования и программного обеспечения, оплату соответствующих тарифов.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Настройка и сопровождение оборудования, с которого осуществляется удалённый доступ к ресурсам Заказчика, а также установленного на оборудовании программного обеспечения, осуществляется Исполнителем.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Запрещается использовать систему удаленного доступа для организации перманентного подключения сторонних сетей, в том числе локальных сетей Исполнителя.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Заказчик с целью защиты своей ИТ-инфраструктуры, репутации и инвестиций, оставляет за собой право принимать любые меры</w:t>
      </w:r>
      <w:r w:rsidRPr="00C104B0" w:rsidDel="00A66A71">
        <w:rPr>
          <w:color w:val="000000" w:themeColor="text1"/>
        </w:rPr>
        <w:t xml:space="preserve"> </w:t>
      </w:r>
      <w:r w:rsidRPr="00C104B0">
        <w:rPr>
          <w:color w:val="000000" w:themeColor="text1"/>
        </w:rPr>
        <w:t>контроля соблюдения Исполнителями настоящих требований по обеспечению необходимого уровня информационной безопасности. Отчет о соответствии указанным в пункте 3.11. требованиям может быть запрошен специалистами, ответственными за обеспечение информационной безопасности в Обществе, в любое время, а также при осуществлении оперативных мероприятий и расследовании инцидентов ИБ.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Заказчик осуществляет контроль использования удаленного доступа к собственной инфраструктуре и может без предупреждения ограничить удаленный доступ в случае выявления нарушений настоящих требований.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В случае компрометации, либо подозрения на компрометацию учетной записи или оборудования Исполнителя, Исполнитель обязан уведомить об этом инциденте Заказчика в кратчайший срок (не более 8 часов) с момента установления такого события.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Исполнителем должна обеспечиваться регистрация событий безопасности, связанных с действиями пользователей при осуществлении удаленного доступа к ИТ-инфраструктуре Заказчика. Срок хранения таких событий должен составлять не менее 1 (одного) года. </w:t>
      </w:r>
    </w:p>
    <w:p w:rsidR="00BE081C" w:rsidRPr="00C104B0" w:rsidRDefault="00BE081C" w:rsidP="00BE081C">
      <w:pPr>
        <w:pStyle w:val="a5"/>
        <w:ind w:left="360" w:firstLine="20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104B0">
        <w:rPr>
          <w:rFonts w:ascii="Tahoma" w:hAnsi="Tahoma" w:cs="Tahoma"/>
          <w:color w:val="000000" w:themeColor="text1"/>
          <w:sz w:val="20"/>
          <w:szCs w:val="20"/>
        </w:rPr>
        <w:t>Регистрации подлежат:</w:t>
      </w:r>
    </w:p>
    <w:p w:rsidR="00BE081C" w:rsidRPr="00C104B0" w:rsidRDefault="00BE081C" w:rsidP="00BE081C">
      <w:pPr>
        <w:pStyle w:val="a5"/>
        <w:numPr>
          <w:ilvl w:val="0"/>
          <w:numId w:val="25"/>
        </w:numPr>
        <w:tabs>
          <w:tab w:val="left" w:pos="1134"/>
        </w:tabs>
        <w:spacing w:line="276" w:lineRule="auto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104B0">
        <w:rPr>
          <w:rFonts w:ascii="Tahoma" w:hAnsi="Tahoma" w:cs="Tahoma"/>
          <w:color w:val="000000" w:themeColor="text1"/>
          <w:sz w:val="20"/>
          <w:szCs w:val="20"/>
        </w:rPr>
        <w:t>для операционной системы Windows все события безопасности, содержащиеся по умолчанию в журнале «Безопасность»;</w:t>
      </w:r>
    </w:p>
    <w:p w:rsidR="00BE081C" w:rsidRPr="00C104B0" w:rsidRDefault="00BE081C" w:rsidP="00BE081C">
      <w:pPr>
        <w:pStyle w:val="a5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104B0">
        <w:rPr>
          <w:rFonts w:ascii="Tahoma" w:hAnsi="Tahoma" w:cs="Tahoma"/>
          <w:color w:val="000000" w:themeColor="text1"/>
          <w:sz w:val="20"/>
          <w:szCs w:val="20"/>
        </w:rPr>
        <w:t>для операционных систем семейства Linux все события безопасности, фиксируемые модулями аудита (например, auditd).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1134"/>
          <w:tab w:val="left" w:pos="1560"/>
        </w:tabs>
        <w:spacing w:after="40" w:line="276" w:lineRule="auto"/>
        <w:ind w:left="0" w:firstLine="567"/>
        <w:contextualSpacing/>
        <w:rPr>
          <w:bCs/>
          <w:iCs/>
          <w:color w:val="000000"/>
        </w:rPr>
      </w:pPr>
      <w:r w:rsidRPr="00C104B0">
        <w:rPr>
          <w:bCs/>
          <w:iCs/>
          <w:color w:val="000000"/>
        </w:rPr>
        <w:t>В случае возникновения инцидента информационной безопасности, в том числе связанного с ИТ-инфраструктурой Исполнителя, Исполнитель по запросу Заказчика обязан предоставить журналы регистрации событий, указанных в пункте 3.19.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contextualSpacing/>
        <w:rPr>
          <w:bCs/>
          <w:iCs/>
          <w:color w:val="000000"/>
        </w:rPr>
      </w:pPr>
      <w:r w:rsidRPr="00C104B0">
        <w:rPr>
          <w:bCs/>
          <w:iCs/>
          <w:color w:val="000000"/>
        </w:rPr>
        <w:t> Подключение к ИТ-инфраструктуре Заказчика осуществляется только в рабочие часы Заказчика. Удаленное подключение вне указанного временного интервала допускается при наличии обоснования необходимости такого подключения в соответствии с условиями договора.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contextualSpacing/>
        <w:rPr>
          <w:bCs/>
          <w:iCs/>
          <w:color w:val="000000"/>
        </w:rPr>
      </w:pPr>
      <w:r w:rsidRPr="00C104B0">
        <w:rPr>
          <w:bCs/>
          <w:iCs/>
          <w:color w:val="000000"/>
        </w:rPr>
        <w:lastRenderedPageBreak/>
        <w:t>Доступ к ИТ-инфраструктуре Заказчика должен осуществляться со средств вычислительной техники, которые не используются в целях, не связанных с исполнением договорных или трудовых обязанностей Исполнителя, и соответствуют настоящим Требованиям.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contextualSpacing/>
        <w:rPr>
          <w:bCs/>
          <w:iCs/>
          <w:color w:val="000000"/>
        </w:rPr>
      </w:pPr>
      <w:r w:rsidRPr="00C104B0">
        <w:rPr>
          <w:bCs/>
          <w:iCs/>
          <w:color w:val="000000"/>
        </w:rPr>
        <w:t>Для организации безопасного взаимодействия при удаленном доступе к ИТ-инфраструктуре Заказчика Исполнителем должен реализовываться базовый набор мер по информационной безопасности в соответствии с Приложением № 1 к настоящим Требованиям.</w:t>
      </w: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24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Порядок оформления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Нарушение настоящих требований со стороны Исполнителя может влечь за собой в отношении Исполнителя административную и (или) уголовную ответственность в соответствии с законодательством Российской Федерации.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Доступ работникам Исполнителя к объектам Заказчика предоставляется при условии выполнения настоящих требований, а также в соответствии с требованиями законодательства РФ.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Доступ предоставляется, только определенному кругу лиц и устройств, которым разрешен удалённый доступ к программным и программно-аппаратным средствам объекта Заказчика.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4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Форма предоставления сведений о перечне лиц и устройств Исполнителя, которым должен быть предоставлен удалённый доступ к программным и программно-аппаратным средствам: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1227"/>
        <w:gridCol w:w="1388"/>
        <w:gridCol w:w="1388"/>
        <w:gridCol w:w="1227"/>
        <w:gridCol w:w="1605"/>
        <w:gridCol w:w="1282"/>
        <w:gridCol w:w="1401"/>
      </w:tblGrid>
      <w:tr w:rsidR="00BE081C" w:rsidRPr="00C104B0" w:rsidTr="009D529F">
        <w:trPr>
          <w:trHeight w:val="2958"/>
        </w:trPr>
        <w:tc>
          <w:tcPr>
            <w:tcW w:w="0" w:type="auto"/>
            <w:shd w:val="clear" w:color="auto" w:fill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ФИО персонала Исполнителя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 xml:space="preserve">Статические </w:t>
            </w: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IP</w:t>
            </w: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-адреса, с которых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val="en-US" w:eastAsia="ru-RU"/>
              </w:rPr>
              <w:t>MAC</w:t>
            </w: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-адрес устройства, с которого будет осуществляться подключение (удаленного устройства).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Контактные данные (мобильный телефон и электронная почта).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Отметка (подпись и дата) об ознакомлении с мерами безопасности, об ознакомлении с ответственностью, о согласии на обработку персональных данных.</w:t>
            </w:r>
          </w:p>
        </w:tc>
        <w:tc>
          <w:tcPr>
            <w:tcW w:w="0" w:type="auto"/>
            <w:vAlign w:val="center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  <w:t>Адрес расположения устройства</w:t>
            </w:r>
          </w:p>
        </w:tc>
        <w:tc>
          <w:tcPr>
            <w:tcW w:w="0" w:type="auto"/>
          </w:tcPr>
          <w:p w:rsidR="00BE081C" w:rsidRPr="00C104B0" w:rsidRDefault="00BE081C" w:rsidP="009D529F">
            <w:pPr>
              <w:tabs>
                <w:tab w:val="left" w:pos="248"/>
              </w:tabs>
              <w:spacing w:after="75"/>
              <w:ind w:firstLine="106"/>
              <w:jc w:val="center"/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</w:pPr>
            <w:r w:rsidRPr="00C104B0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Обоснование необходимости удаленного </w:t>
            </w:r>
            <w:r w:rsidRPr="00C104B0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подключения к ИТ-инфраструктуре</w:t>
            </w:r>
            <w:r w:rsidRPr="00C104B0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вне рабочи</w:t>
            </w:r>
            <w:r w:rsidRPr="00C104B0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е</w:t>
            </w:r>
            <w:r w:rsidRPr="00C104B0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час</w:t>
            </w:r>
            <w:r w:rsidRPr="00C104B0">
              <w:rPr>
                <w:rFonts w:ascii="Tahoma" w:eastAsia="Times New Roman" w:hAnsi="Tahoma" w:cs="Tahoma"/>
                <w:iCs/>
                <w:color w:val="000000"/>
                <w:spacing w:val="-10"/>
                <w:sz w:val="20"/>
                <w:szCs w:val="20"/>
                <w:lang w:eastAsia="ru-RU"/>
              </w:rPr>
              <w:t>ы</w:t>
            </w:r>
            <w:r w:rsidRPr="00C104B0">
              <w:rPr>
                <w:rFonts w:ascii="Tahoma" w:hAnsi="Tahoma" w:cs="Tahoma"/>
                <w:iCs/>
                <w:color w:val="000000"/>
                <w:spacing w:val="-10"/>
                <w:sz w:val="20"/>
                <w:szCs w:val="20"/>
              </w:rPr>
              <w:t xml:space="preserve"> Заказчика* (ссылка на пункт договора, временной интервал доступа)</w:t>
            </w:r>
          </w:p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081C" w:rsidRPr="00C104B0" w:rsidTr="009D529F">
        <w:trPr>
          <w:trHeight w:val="853"/>
        </w:trPr>
        <w:tc>
          <w:tcPr>
            <w:tcW w:w="0" w:type="auto"/>
            <w:shd w:val="clear" w:color="auto" w:fill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1.</w:t>
            </w:r>
          </w:p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both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0" w:type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  <w:shd w:val="clear" w:color="auto" w:fill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 xml:space="preserve">(Обязательно </w:t>
            </w: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для </w:t>
            </w: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br/>
              <w:t>заполнения)</w:t>
            </w:r>
          </w:p>
        </w:tc>
        <w:tc>
          <w:tcPr>
            <w:tcW w:w="0" w:type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(Обязательно для заполнения)</w:t>
            </w:r>
          </w:p>
        </w:tc>
        <w:tc>
          <w:tcPr>
            <w:tcW w:w="0" w:type="auto"/>
          </w:tcPr>
          <w:p w:rsidR="00BE081C" w:rsidRPr="00C104B0" w:rsidRDefault="00BE081C" w:rsidP="009D529F">
            <w:pPr>
              <w:tabs>
                <w:tab w:val="left" w:pos="1134"/>
              </w:tabs>
              <w:spacing w:after="75"/>
              <w:jc w:val="center"/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104B0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ru-RU"/>
              </w:rPr>
              <w:t>(заполняется при необходимости)</w:t>
            </w:r>
          </w:p>
        </w:tc>
      </w:tr>
    </w:tbl>
    <w:p w:rsidR="00BE081C" w:rsidRPr="00C104B0" w:rsidRDefault="00BE081C" w:rsidP="00BE081C">
      <w:pPr>
        <w:pStyle w:val="ae"/>
        <w:jc w:val="both"/>
        <w:rPr>
          <w:rFonts w:ascii="Tahoma" w:hAnsi="Tahoma" w:cs="Tahoma"/>
          <w:bCs/>
          <w:i/>
          <w:iCs/>
          <w:color w:val="000000"/>
        </w:rPr>
      </w:pPr>
      <w:r w:rsidRPr="00C104B0">
        <w:rPr>
          <w:rFonts w:ascii="Tahoma" w:hAnsi="Tahoma" w:cs="Tahoma"/>
          <w:bCs/>
          <w:i/>
          <w:iCs/>
          <w:color w:val="000000"/>
        </w:rPr>
        <w:t>*указывается пункт договора, являющийся обоснованием предоставления удаленного доступа вне рабочие часы Заказчика, и временной интервал такого доступа.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after="0"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 xml:space="preserve">Оригиналы заявок на предоставление доступа направляются Исполнителем в печатном и электронном виде Заказчику в рабочее время Заказчика. Заказчик рассматривает заявки в течение 5 рабочих дней со следующего рабочего дня после получения Заказчиком заявки на предоставление удаленного доступа. После рассмотрения заявки Заказчик в течение 3 рабочих дней направляет Исполнителю информацию о рассмотрении заявки. </w:t>
      </w: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12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 xml:space="preserve">Порядок надзора за исполнением требований безопасности. 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Исполнитель обязан в полном объеме и определённые Заказчиком сроки выполнить все требования, направленные на выполнение Исполнителем мероприятий по обеспечению необходимого Заказчику уровня защиты информации. Под необходимыми требованиями понимаются требования, указанные в настоящем документе.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lastRenderedPageBreak/>
        <w:t>Заказчик для контроля исполнения требований по защите информации имеет право: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использовать имеющиеся у Заказчика средства контроля утечки конфиденциальной информации;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использовать имеющиеся у Заказчика средства контроля действий пользователей;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осуществлять контроль соблюдения Исполнителем требований по защите информации, в т.ч. требовать от Исполнителя предоставить используемую Исполнителем технику для проверки функционирования средств защиты информации в рамках действующих договорных отношений между Заказчиком и Исполнителем;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при необходимости производить периодические проверки с предварительным согласованием Исполнителя на предмет возникновения нештатных ситуаций или инцидентов информационной безопасности путем имитации указанных событий (проведение тренировок);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в случае необходимости запрашивать у Исполнителя политику информационной безопасности, результаты внутренних (внешних) аудитов информационной безопасности, результаты тестирования на проникновение ИТ-инфраструктуры Исполнителя, план реагирования на компьютерные инциденты, а также регламент действий работников Исполнителя в случае нештатных ситуаций.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Заказчик имеет право в одностороннем порядке приостановить или прекратить предоставление удаленного доступа Исполнителю, а Исполнитель обязан выполнить связанные с этим решением мероприятия в сроки, обозначенные Заказчиком.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Основания для непредоставления, приостановки или прекращения предоставления удаленного доступа: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предоставление Заказчику оригинала заявки, заполненной надлежащим образом;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не исполнение (в т.ч. нарушение) со стороны Исполнителя требований Заказчика по защите информации, принадлежащей Заказчику, к которой Исполнитель получил доступ и которую он обрабатывал в рамках исполнения договорных отношений с Заказчиком;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  <w:rPr>
          <w:color w:val="000000" w:themeColor="text1"/>
        </w:rPr>
      </w:pPr>
      <w:r w:rsidRPr="00C104B0">
        <w:rPr>
          <w:color w:val="000000" w:themeColor="text1"/>
        </w:rPr>
        <w:t>прекращение договорных отношений между сторонами;</w:t>
      </w:r>
    </w:p>
    <w:p w:rsidR="00BE081C" w:rsidRPr="00C104B0" w:rsidRDefault="00BE081C" w:rsidP="00BE081C">
      <w:pPr>
        <w:pStyle w:val="a"/>
        <w:tabs>
          <w:tab w:val="left" w:pos="1134"/>
        </w:tabs>
        <w:spacing w:line="276" w:lineRule="auto"/>
        <w:ind w:left="0" w:firstLine="567"/>
      </w:pPr>
      <w:r w:rsidRPr="00C104B0">
        <w:rPr>
          <w:color w:val="000000" w:themeColor="text1"/>
        </w:rPr>
        <w:t>предписание федерального органа исполнительной власти Российской Федерации, уполномоченного в области обеспечения функционирования государственной системы обнаружения, предупреждения, ликвидации последствий компьютерных атак на информационные ресурсы Российской Федерации и федерального органа исполнительной власти, уполномоченного в области обеспечения безопасности информации Российской Федерации.</w:t>
      </w:r>
    </w:p>
    <w:p w:rsidR="00BE081C" w:rsidRPr="00C104B0" w:rsidRDefault="00BE081C" w:rsidP="00BE081C">
      <w:pPr>
        <w:pStyle w:val="a5"/>
        <w:numPr>
          <w:ilvl w:val="0"/>
          <w:numId w:val="24"/>
        </w:numPr>
        <w:tabs>
          <w:tab w:val="left" w:pos="1134"/>
        </w:tabs>
        <w:spacing w:before="240" w:after="120" w:line="276" w:lineRule="auto"/>
        <w:ind w:left="0" w:firstLine="567"/>
        <w:jc w:val="both"/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</w:pPr>
      <w:r w:rsidRPr="00C104B0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ru-RU"/>
        </w:rPr>
        <w:t>Контактные лица для оперативного взаимодействия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bCs/>
          <w:iCs/>
          <w:color w:val="000000"/>
        </w:rPr>
      </w:pPr>
      <w:r w:rsidRPr="00C104B0">
        <w:rPr>
          <w:bCs/>
          <w:iCs/>
          <w:color w:val="000000"/>
        </w:rPr>
        <w:t>При подозрении на возникновение инцидента информационной безопасности, связанного с удаленным доступом к ИТ-инфраструктуре Заказчика, взаимодействие между Заказчиком и Исполнителем должно осуществляться путем информирования ответственных лиц способами, приведенными в таблице № 1.</w:t>
      </w:r>
    </w:p>
    <w:p w:rsidR="00BE081C" w:rsidRPr="00C104B0" w:rsidRDefault="00BE081C" w:rsidP="00BE081C">
      <w:pPr>
        <w:pStyle w:val="a5"/>
        <w:spacing w:line="360" w:lineRule="auto"/>
        <w:ind w:left="360"/>
        <w:jc w:val="right"/>
        <w:rPr>
          <w:rFonts w:ascii="Tahoma" w:hAnsi="Tahoma" w:cs="Tahoma"/>
          <w:bCs/>
          <w:iCs/>
          <w:color w:val="000000"/>
          <w:sz w:val="20"/>
          <w:szCs w:val="20"/>
        </w:rPr>
      </w:pPr>
      <w:r w:rsidRPr="00C104B0">
        <w:rPr>
          <w:rFonts w:ascii="Tahoma" w:hAnsi="Tahoma" w:cs="Tahoma"/>
          <w:bCs/>
          <w:iCs/>
          <w:color w:val="000000"/>
          <w:sz w:val="20"/>
          <w:szCs w:val="20"/>
        </w:rPr>
        <w:t>Таблица № 1 – Контактные данные для взаимодействия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497"/>
        <w:gridCol w:w="2324"/>
        <w:gridCol w:w="2324"/>
        <w:gridCol w:w="2772"/>
      </w:tblGrid>
      <w:tr w:rsidR="00BE081C" w:rsidRPr="00C104B0" w:rsidTr="009D529F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 w:firstLine="37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Должность ответственного лица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 w:firstLine="37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 w:firstLine="37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 w:firstLine="37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E-mail</w:t>
            </w:r>
          </w:p>
        </w:tc>
      </w:tr>
      <w:tr w:rsidR="00BE081C" w:rsidRPr="00C104B0" w:rsidTr="009D529F">
        <w:trPr>
          <w:trHeight w:val="344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Заказчик</w:t>
            </w:r>
          </w:p>
        </w:tc>
      </w:tr>
      <w:tr w:rsidR="00BE081C" w:rsidRPr="00C104B0" w:rsidTr="009D529F">
        <w:trPr>
          <w:trHeight w:val="34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</w:tr>
      <w:tr w:rsidR="00BE081C" w:rsidRPr="00C104B0" w:rsidTr="009D529F">
        <w:trPr>
          <w:trHeight w:val="344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Исполнитель</w:t>
            </w:r>
          </w:p>
        </w:tc>
      </w:tr>
      <w:tr w:rsidR="00BE081C" w:rsidRPr="00C104B0" w:rsidTr="009D529F"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1C" w:rsidRPr="00C104B0" w:rsidRDefault="00BE081C" w:rsidP="009D529F">
            <w:pPr>
              <w:pStyle w:val="a5"/>
              <w:ind w:left="0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C104B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lightGray"/>
              </w:rPr>
              <w:t>(Обязательно для заполнения)</w:t>
            </w:r>
          </w:p>
        </w:tc>
      </w:tr>
    </w:tbl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bCs/>
          <w:iCs/>
          <w:color w:val="000000"/>
        </w:rPr>
      </w:pPr>
      <w:r w:rsidRPr="00C104B0">
        <w:rPr>
          <w:bCs/>
          <w:iCs/>
          <w:color w:val="000000"/>
        </w:rPr>
        <w:t>Заказчик и Исполнитель в течение 5 рабочих дней со дня подписания договора осуществляют обмен контактными данными для взаимодействия в рамках реагирования на инциденты.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bCs/>
          <w:iCs/>
          <w:color w:val="000000"/>
        </w:rPr>
      </w:pPr>
      <w:r w:rsidRPr="00C104B0">
        <w:rPr>
          <w:bCs/>
          <w:iCs/>
          <w:color w:val="000000"/>
        </w:rPr>
        <w:t>Уведомление, содержащее контактные данные, направляется Исполнителем ответственному лицу со стороны Заказчика.</w:t>
      </w:r>
    </w:p>
    <w:p w:rsidR="00BE081C" w:rsidRPr="00C104B0" w:rsidRDefault="00BE081C" w:rsidP="00BE081C">
      <w:pPr>
        <w:pStyle w:val="ab"/>
        <w:numPr>
          <w:ilvl w:val="1"/>
          <w:numId w:val="24"/>
        </w:numPr>
        <w:tabs>
          <w:tab w:val="left" w:pos="993"/>
          <w:tab w:val="left" w:pos="1134"/>
        </w:tabs>
        <w:spacing w:line="276" w:lineRule="auto"/>
        <w:ind w:left="0" w:firstLine="567"/>
        <w:rPr>
          <w:bCs/>
          <w:iCs/>
          <w:color w:val="000000"/>
        </w:rPr>
      </w:pPr>
      <w:r w:rsidRPr="00C104B0">
        <w:rPr>
          <w:bCs/>
          <w:iCs/>
          <w:color w:val="000000"/>
        </w:rPr>
        <w:lastRenderedPageBreak/>
        <w:t>В случае изменения контактных данных Заказчик и Исполнитель обязаны проинформировать друг друга о произошедших изменениях в течение 5 рабочих дней после их наступления.</w:t>
      </w: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Cs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tabs>
          <w:tab w:val="left" w:pos="1134"/>
        </w:tabs>
        <w:spacing w:before="240" w:after="120"/>
        <w:jc w:val="both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Default="00BE081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BE081C" w:rsidRPr="00C104B0" w:rsidRDefault="00BE081C" w:rsidP="00BE081C">
      <w:pPr>
        <w:contextualSpacing/>
        <w:jc w:val="right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lastRenderedPageBreak/>
        <w:t xml:space="preserve">Приложение № 1 </w:t>
      </w:r>
    </w:p>
    <w:p w:rsidR="00BE081C" w:rsidRPr="00C104B0" w:rsidRDefault="00BE081C" w:rsidP="00BE081C">
      <w:pPr>
        <w:spacing w:line="240" w:lineRule="auto"/>
        <w:contextualSpacing/>
        <w:jc w:val="right"/>
        <w:rPr>
          <w:rFonts w:ascii="Tahoma" w:hAnsi="Tahoma" w:cs="Tahoma"/>
          <w:spacing w:val="-12"/>
          <w:sz w:val="20"/>
          <w:szCs w:val="20"/>
        </w:rPr>
      </w:pPr>
      <w:r w:rsidRPr="00C104B0">
        <w:rPr>
          <w:rFonts w:ascii="Tahoma" w:hAnsi="Tahoma" w:cs="Tahoma"/>
          <w:spacing w:val="-12"/>
          <w:sz w:val="20"/>
          <w:szCs w:val="20"/>
        </w:rPr>
        <w:t>к Требованиям по информационной безопасности в части предоставления удаленного доступа третьим лицам, не являющихся работниками Общества (юридические лица, индивидуальные предприниматели, исполнители по договорам ГПХ, в том числе физические лица – плательщики НПД (самозанятые), выполняющих работу и (или) оказывающее услуги по заказу Общества)</w:t>
      </w:r>
    </w:p>
    <w:p w:rsidR="00BE081C" w:rsidRPr="00C104B0" w:rsidRDefault="00BE081C" w:rsidP="00BE081C">
      <w:pPr>
        <w:spacing w:line="240" w:lineRule="auto"/>
        <w:contextualSpacing/>
        <w:jc w:val="right"/>
        <w:rPr>
          <w:rFonts w:ascii="Tahoma" w:hAnsi="Tahoma" w:cs="Tahoma"/>
          <w:b/>
          <w:bCs/>
          <w:i/>
          <w:iCs/>
          <w:color w:val="000000"/>
          <w:sz w:val="20"/>
          <w:szCs w:val="20"/>
        </w:rPr>
      </w:pPr>
    </w:p>
    <w:p w:rsidR="00BE081C" w:rsidRPr="00C104B0" w:rsidRDefault="00BE081C" w:rsidP="00BE081C">
      <w:pPr>
        <w:contextualSpacing/>
        <w:jc w:val="center"/>
        <w:rPr>
          <w:rFonts w:ascii="Tahoma" w:hAnsi="Tahoma" w:cs="Tahoma"/>
          <w:sz w:val="20"/>
          <w:szCs w:val="20"/>
        </w:rPr>
      </w:pPr>
    </w:p>
    <w:p w:rsidR="00BE081C" w:rsidRPr="00C104B0" w:rsidRDefault="00BE081C" w:rsidP="00BE081C">
      <w:pPr>
        <w:spacing w:line="240" w:lineRule="auto"/>
        <w:contextualSpacing/>
        <w:jc w:val="center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 xml:space="preserve">Перечень базовых мер </w:t>
      </w:r>
    </w:p>
    <w:p w:rsidR="00BE081C" w:rsidRPr="00C104B0" w:rsidRDefault="00BE081C" w:rsidP="00BE081C">
      <w:pPr>
        <w:spacing w:line="240" w:lineRule="auto"/>
        <w:contextualSpacing/>
        <w:jc w:val="center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по информационной безопасности</w:t>
      </w:r>
    </w:p>
    <w:p w:rsidR="00BE081C" w:rsidRPr="00C104B0" w:rsidRDefault="00BE081C" w:rsidP="00BE081C">
      <w:pPr>
        <w:spacing w:line="36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:rsidR="00BE081C" w:rsidRPr="00C104B0" w:rsidRDefault="00BE081C" w:rsidP="00BE081C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В целях организации безопасного взаимодействия при наличии удаленного доступа к ИТ-инфраструктуре Группы «Т Плюс» организациям, оказывающим услуги в рамках заключенных договоров, необходимо обеспечить реализацию следующих базовых мер по информационной безопасности в собственной инфраструктуре: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Двухфакторная аутентификация пользователей.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Антивирусная защита автоматизированных рабочих мест и серверов.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Защита почтовых сервисов от фишинга.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Защищенный обмен файлами и информацией через файловое хранилище.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Обеспечение процесса управления уязвимостями.</w:t>
      </w:r>
    </w:p>
    <w:p w:rsidR="00BE081C" w:rsidRPr="00C104B0" w:rsidRDefault="00BE081C" w:rsidP="00BE081C">
      <w:pPr>
        <w:pStyle w:val="a5"/>
        <w:numPr>
          <w:ilvl w:val="0"/>
          <w:numId w:val="26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Реализация парольной политики, соответствующей следующим требованиям:</w:t>
      </w:r>
    </w:p>
    <w:p w:rsidR="00BE081C" w:rsidRPr="00C104B0" w:rsidRDefault="00BE081C" w:rsidP="00BE081C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 xml:space="preserve">длина пароля должна быть не менее 10 символов; </w:t>
      </w:r>
    </w:p>
    <w:p w:rsidR="00BE081C" w:rsidRPr="00C104B0" w:rsidRDefault="00BE081C" w:rsidP="00BE081C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 xml:space="preserve">пароль должен содержать буквы верхнего и нижнего регистра (А-Я, A-Z, а-я, a-z), специальные символы (!, », №, %, *, /); </w:t>
      </w:r>
    </w:p>
    <w:p w:rsidR="00BE081C" w:rsidRPr="00C104B0" w:rsidRDefault="00BE081C" w:rsidP="00BE081C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 xml:space="preserve">в пароле не должно быть персонифицированной информации (имен, адресов, даты рождения, телефонов); </w:t>
      </w:r>
    </w:p>
    <w:p w:rsidR="00BE081C" w:rsidRPr="00C104B0" w:rsidRDefault="00BE081C" w:rsidP="00BE081C">
      <w:pPr>
        <w:pStyle w:val="a5"/>
        <w:numPr>
          <w:ilvl w:val="0"/>
          <w:numId w:val="27"/>
        </w:numPr>
        <w:spacing w:line="360" w:lineRule="auto"/>
        <w:ind w:left="0" w:firstLine="709"/>
        <w:jc w:val="both"/>
        <w:rPr>
          <w:rFonts w:ascii="Tahoma" w:hAnsi="Tahoma" w:cs="Tahoma"/>
          <w:sz w:val="20"/>
          <w:szCs w:val="20"/>
        </w:rPr>
      </w:pPr>
      <w:r w:rsidRPr="00C104B0">
        <w:rPr>
          <w:rFonts w:ascii="Tahoma" w:hAnsi="Tahoma" w:cs="Tahoma"/>
          <w:sz w:val="20"/>
          <w:szCs w:val="20"/>
        </w:rPr>
        <w:t>пароли от учетной записи для доступа к собственной инфраструктуре и учетной записи, созданной для доступа к ИТ-инфраструктуре Группы «Т Плюс», должны отличаться.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lastRenderedPageBreak/>
        <w:t>Приложение №3 к Техническому заданию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на оказание услуг по технической поддержке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09497E">
        <w:rPr>
          <w:rFonts w:ascii="Tahoma" w:hAnsi="Tahoma" w:cs="Tahoma"/>
          <w:sz w:val="20"/>
          <w:szCs w:val="20"/>
        </w:rPr>
        <w:t xml:space="preserve"> системы ITSM на платформе Итилиум</w:t>
      </w:r>
      <w:r w:rsidRPr="0009497E" w:rsidDel="00F857A2">
        <w:rPr>
          <w:rFonts w:ascii="Tahoma" w:hAnsi="Tahoma" w:cs="Tahoma"/>
          <w:sz w:val="20"/>
          <w:szCs w:val="20"/>
        </w:rPr>
        <w:t xml:space="preserve"> </w:t>
      </w:r>
    </w:p>
    <w:p w:rsidR="0009497E" w:rsidRPr="0009497E" w:rsidRDefault="0009497E" w:rsidP="0009497E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tabs>
          <w:tab w:val="left" w:pos="993"/>
          <w:tab w:val="left" w:pos="1134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09497E">
        <w:rPr>
          <w:rFonts w:ascii="Tahoma" w:hAnsi="Tahoma" w:cs="Tahoma"/>
          <w:b/>
          <w:sz w:val="20"/>
          <w:szCs w:val="20"/>
        </w:rPr>
        <w:t xml:space="preserve">Форма заявки </w:t>
      </w:r>
    </w:p>
    <w:p w:rsidR="0009497E" w:rsidRPr="0009497E" w:rsidRDefault="0009497E" w:rsidP="0009497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488" w:type="dxa"/>
        <w:tblLayout w:type="fixed"/>
        <w:tblLook w:val="04A0" w:firstRow="1" w:lastRow="0" w:firstColumn="1" w:lastColumn="0" w:noHBand="0" w:noVBand="1"/>
      </w:tblPr>
      <w:tblGrid>
        <w:gridCol w:w="503"/>
        <w:gridCol w:w="905"/>
        <w:gridCol w:w="1843"/>
        <w:gridCol w:w="1559"/>
        <w:gridCol w:w="1559"/>
        <w:gridCol w:w="1418"/>
        <w:gridCol w:w="1701"/>
      </w:tblGrid>
      <w:tr w:rsidR="00BA5AF5" w:rsidRPr="0040409E" w:rsidTr="009D529F">
        <w:trPr>
          <w:trHeight w:val="1032"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№ Наряда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Описание заявки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Дата, время регистрации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План. срок решения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Факт. срок 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A5A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Трудозатраты (ч/час)</w:t>
            </w:r>
          </w:p>
        </w:tc>
      </w:tr>
      <w:tr w:rsidR="00BA5AF5" w:rsidRPr="0040409E" w:rsidTr="009D529F">
        <w:trPr>
          <w:trHeight w:val="104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AF5" w:rsidRPr="00BA5AF5" w:rsidRDefault="00BA5AF5" w:rsidP="009D52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9497E" w:rsidRPr="0009497E" w:rsidRDefault="0009497E" w:rsidP="0009497E">
      <w:pPr>
        <w:tabs>
          <w:tab w:val="left" w:pos="567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pPr w:leftFromText="181" w:rightFromText="181" w:vertAnchor="text" w:horzAnchor="margin" w:tblpX="250" w:tblpY="568"/>
        <w:tblOverlap w:val="never"/>
        <w:tblW w:w="14213" w:type="dxa"/>
        <w:tblLayout w:type="fixed"/>
        <w:tblLook w:val="0000" w:firstRow="0" w:lastRow="0" w:firstColumn="0" w:lastColumn="0" w:noHBand="0" w:noVBand="0"/>
      </w:tblPr>
      <w:tblGrid>
        <w:gridCol w:w="5245"/>
        <w:gridCol w:w="8968"/>
      </w:tblGrid>
      <w:tr w:rsidR="0009497E" w:rsidRPr="0009497E" w:rsidTr="00BE7A46">
        <w:trPr>
          <w:trHeight w:val="70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>Исполнитель</w:t>
            </w: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________________/ / </w:t>
            </w: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968" w:type="dxa"/>
            <w:tcBorders>
              <w:top w:val="nil"/>
              <w:left w:val="nil"/>
              <w:bottom w:val="nil"/>
              <w:right w:val="nil"/>
            </w:tcBorders>
          </w:tcPr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_________________/</w:t>
            </w:r>
            <w:r w:rsidRPr="0009497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Азизов К.Р / </w:t>
            </w:r>
          </w:p>
          <w:p w:rsidR="0009497E" w:rsidRPr="0009497E" w:rsidRDefault="0009497E" w:rsidP="0009497E">
            <w:pPr>
              <w:widowControl w:val="0"/>
              <w:spacing w:after="0"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9497E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09497E" w:rsidRPr="0009497E" w:rsidRDefault="0009497E" w:rsidP="0009497E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8B12FD" w:rsidRPr="0009497E" w:rsidRDefault="008B12FD" w:rsidP="0009497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B12FD" w:rsidRPr="0009497E" w:rsidSect="008164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D80" w:rsidRDefault="002A5D80" w:rsidP="006A1AF1">
      <w:pPr>
        <w:spacing w:after="0" w:line="240" w:lineRule="auto"/>
      </w:pPr>
      <w:r>
        <w:separator/>
      </w:r>
    </w:p>
  </w:endnote>
  <w:endnote w:type="continuationSeparator" w:id="0">
    <w:p w:rsidR="002A5D80" w:rsidRDefault="002A5D80" w:rsidP="006A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D80" w:rsidRDefault="002A5D80" w:rsidP="006A1AF1">
      <w:pPr>
        <w:spacing w:after="0" w:line="240" w:lineRule="auto"/>
      </w:pPr>
      <w:r>
        <w:separator/>
      </w:r>
    </w:p>
  </w:footnote>
  <w:footnote w:type="continuationSeparator" w:id="0">
    <w:p w:rsidR="002A5D80" w:rsidRDefault="002A5D80" w:rsidP="006A1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201F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816B68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4" w15:restartNumberingAfterBreak="0">
    <w:nsid w:val="16381CF9"/>
    <w:multiLevelType w:val="hybridMultilevel"/>
    <w:tmpl w:val="754A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F06CE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4BA14AB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36924DA2"/>
    <w:multiLevelType w:val="hybridMultilevel"/>
    <w:tmpl w:val="2604F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48563F2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1" w15:restartNumberingAfterBreak="0">
    <w:nsid w:val="51B67704"/>
    <w:multiLevelType w:val="hybridMultilevel"/>
    <w:tmpl w:val="4FCCC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E518A"/>
    <w:multiLevelType w:val="hybridMultilevel"/>
    <w:tmpl w:val="C802A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A840BB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4" w15:restartNumberingAfterBreak="0">
    <w:nsid w:val="5A1E05CC"/>
    <w:multiLevelType w:val="hybridMultilevel"/>
    <w:tmpl w:val="09A67D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0E6DF5"/>
    <w:multiLevelType w:val="hybridMultilevel"/>
    <w:tmpl w:val="53A08AB4"/>
    <w:lvl w:ilvl="0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16" w15:restartNumberingAfterBreak="0">
    <w:nsid w:val="5F56360F"/>
    <w:multiLevelType w:val="hybridMultilevel"/>
    <w:tmpl w:val="45B493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2E07C65"/>
    <w:multiLevelType w:val="multilevel"/>
    <w:tmpl w:val="D310B10A"/>
    <w:lvl w:ilvl="0">
      <w:start w:val="1"/>
      <w:numFmt w:val="decimal"/>
      <w:pStyle w:val="1"/>
      <w:lvlText w:val="%1."/>
      <w:lvlJc w:val="left"/>
      <w:pPr>
        <w:ind w:left="5889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isLgl/>
      <w:lvlText w:val="%1.%2"/>
      <w:lvlJc w:val="left"/>
      <w:pPr>
        <w:ind w:left="1320" w:hanging="60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8" w15:restartNumberingAfterBreak="0">
    <w:nsid w:val="6E306DA1"/>
    <w:multiLevelType w:val="hybridMultilevel"/>
    <w:tmpl w:val="33D8532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6F887CD7"/>
    <w:multiLevelType w:val="hybridMultilevel"/>
    <w:tmpl w:val="195AD9F2"/>
    <w:lvl w:ilvl="0" w:tplc="C8C4BAE0">
      <w:start w:val="1"/>
      <w:numFmt w:val="bullet"/>
      <w:pStyle w:val="a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0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70AA5"/>
    <w:multiLevelType w:val="multilevel"/>
    <w:tmpl w:val="686A1138"/>
    <w:lvl w:ilvl="0">
      <w:start w:val="1"/>
      <w:numFmt w:val="decimal"/>
      <w:lvlText w:val="%1.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D946761"/>
    <w:multiLevelType w:val="hybridMultilevel"/>
    <w:tmpl w:val="980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FDC622A"/>
    <w:multiLevelType w:val="hybridMultilevel"/>
    <w:tmpl w:val="47FAC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9"/>
  </w:num>
  <w:num w:numId="5">
    <w:abstractNumId w:val="1"/>
  </w:num>
  <w:num w:numId="6">
    <w:abstractNumId w:val="24"/>
  </w:num>
  <w:num w:numId="7">
    <w:abstractNumId w:val="22"/>
  </w:num>
  <w:num w:numId="8">
    <w:abstractNumId w:val="7"/>
  </w:num>
  <w:num w:numId="9">
    <w:abstractNumId w:val="6"/>
  </w:num>
  <w:num w:numId="10">
    <w:abstractNumId w:val="17"/>
  </w:num>
  <w:num w:numId="11">
    <w:abstractNumId w:val="23"/>
  </w:num>
  <w:num w:numId="12">
    <w:abstractNumId w:val="25"/>
  </w:num>
  <w:num w:numId="13">
    <w:abstractNumId w:val="12"/>
  </w:num>
  <w:num w:numId="14">
    <w:abstractNumId w:val="4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0"/>
  </w:num>
  <w:num w:numId="18">
    <w:abstractNumId w:val="14"/>
  </w:num>
  <w:num w:numId="19">
    <w:abstractNumId w:val="3"/>
  </w:num>
  <w:num w:numId="20">
    <w:abstractNumId w:val="15"/>
  </w:num>
  <w:num w:numId="21">
    <w:abstractNumId w:val="21"/>
  </w:num>
  <w:num w:numId="22">
    <w:abstractNumId w:val="18"/>
  </w:num>
  <w:num w:numId="23">
    <w:abstractNumId w:val="19"/>
  </w:num>
  <w:num w:numId="24">
    <w:abstractNumId w:val="2"/>
  </w:num>
  <w:num w:numId="25">
    <w:abstractNumId w:val="16"/>
  </w:num>
  <w:num w:numId="26">
    <w:abstractNumId w:val="1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F1"/>
    <w:rsid w:val="000034D5"/>
    <w:rsid w:val="00037448"/>
    <w:rsid w:val="00044EB0"/>
    <w:rsid w:val="0004628F"/>
    <w:rsid w:val="00055B51"/>
    <w:rsid w:val="0009497E"/>
    <w:rsid w:val="000C2A47"/>
    <w:rsid w:val="000F67D0"/>
    <w:rsid w:val="00132E2F"/>
    <w:rsid w:val="001E4478"/>
    <w:rsid w:val="00204A54"/>
    <w:rsid w:val="00220AFE"/>
    <w:rsid w:val="00290A62"/>
    <w:rsid w:val="002A5D80"/>
    <w:rsid w:val="002D17A2"/>
    <w:rsid w:val="00396D44"/>
    <w:rsid w:val="00450D1A"/>
    <w:rsid w:val="00475708"/>
    <w:rsid w:val="0047708E"/>
    <w:rsid w:val="004F0D97"/>
    <w:rsid w:val="00637CBD"/>
    <w:rsid w:val="00667D26"/>
    <w:rsid w:val="00675157"/>
    <w:rsid w:val="006A1AF1"/>
    <w:rsid w:val="006D54C5"/>
    <w:rsid w:val="006E64EF"/>
    <w:rsid w:val="006F51B5"/>
    <w:rsid w:val="00700DC4"/>
    <w:rsid w:val="00783A56"/>
    <w:rsid w:val="008060F6"/>
    <w:rsid w:val="008164BF"/>
    <w:rsid w:val="008912CE"/>
    <w:rsid w:val="008A2854"/>
    <w:rsid w:val="008B12FD"/>
    <w:rsid w:val="008D6970"/>
    <w:rsid w:val="0097618A"/>
    <w:rsid w:val="00A16AF9"/>
    <w:rsid w:val="00A42A91"/>
    <w:rsid w:val="00A44487"/>
    <w:rsid w:val="00A73D38"/>
    <w:rsid w:val="00AA0391"/>
    <w:rsid w:val="00AE08BF"/>
    <w:rsid w:val="00AF253C"/>
    <w:rsid w:val="00B60D90"/>
    <w:rsid w:val="00B72DB6"/>
    <w:rsid w:val="00BA5AF5"/>
    <w:rsid w:val="00BB16D3"/>
    <w:rsid w:val="00BB2FEE"/>
    <w:rsid w:val="00BC7D2A"/>
    <w:rsid w:val="00BE081C"/>
    <w:rsid w:val="00C047F0"/>
    <w:rsid w:val="00C17765"/>
    <w:rsid w:val="00CC1A85"/>
    <w:rsid w:val="00CC3036"/>
    <w:rsid w:val="00CD36BF"/>
    <w:rsid w:val="00D17131"/>
    <w:rsid w:val="00D21C9A"/>
    <w:rsid w:val="00D31CB7"/>
    <w:rsid w:val="00D9318B"/>
    <w:rsid w:val="00D942B5"/>
    <w:rsid w:val="00DC7193"/>
    <w:rsid w:val="00DE4586"/>
    <w:rsid w:val="00EA419D"/>
    <w:rsid w:val="00ED07BC"/>
    <w:rsid w:val="00F23D76"/>
    <w:rsid w:val="00F5442E"/>
    <w:rsid w:val="00F722AB"/>
    <w:rsid w:val="00F73D75"/>
    <w:rsid w:val="00F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3EBD8"/>
  <w15:chartTrackingRefBased/>
  <w15:docId w15:val="{1580D8F2-C570-4F38-B872-BFCBEE8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1AF1"/>
  </w:style>
  <w:style w:type="paragraph" w:styleId="10">
    <w:name w:val="heading 1"/>
    <w:basedOn w:val="a0"/>
    <w:next w:val="a0"/>
    <w:link w:val="11"/>
    <w:uiPriority w:val="9"/>
    <w:qFormat/>
    <w:rsid w:val="008164B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6A1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Заголовок_3,Bullet_IRAO,Мой Список,AC List 01,Подпись рисунка,Table-Normal,RSHB_Table-Normal,List Paragraph1,ДВУХУРОВНЕВЫЙ МАРКИР,SL_Абзац списка,Абзац списка литеральный,it_List1,Bullet List,FooterText,numbered,Paragraphe de liste1,lp1,b,c"/>
    <w:basedOn w:val="a0"/>
    <w:link w:val="a6"/>
    <w:uiPriority w:val="34"/>
    <w:qFormat/>
    <w:rsid w:val="006A1AF1"/>
    <w:pPr>
      <w:ind w:left="720"/>
      <w:contextualSpacing/>
    </w:pPr>
  </w:style>
  <w:style w:type="paragraph" w:styleId="a7">
    <w:name w:val="footnote text"/>
    <w:basedOn w:val="a0"/>
    <w:link w:val="a8"/>
    <w:uiPriority w:val="99"/>
    <w:semiHidden/>
    <w:unhideWhenUsed/>
    <w:rsid w:val="006A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uiPriority w:val="99"/>
    <w:semiHidden/>
    <w:rsid w:val="006A1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1"/>
    <w:uiPriority w:val="99"/>
    <w:semiHidden/>
    <w:unhideWhenUsed/>
    <w:rsid w:val="006A1AF1"/>
    <w:rPr>
      <w:rFonts w:ascii="Times New Roman" w:hAnsi="Times New Roman" w:cs="Times New Roman" w:hint="default"/>
      <w:vertAlign w:val="superscript"/>
    </w:rPr>
  </w:style>
  <w:style w:type="character" w:customStyle="1" w:styleId="11">
    <w:name w:val="Заголовок 1 Знак"/>
    <w:basedOn w:val="a1"/>
    <w:link w:val="10"/>
    <w:uiPriority w:val="9"/>
    <w:rsid w:val="008164BF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1">
    <w:name w:val="Моя структура 1"/>
    <w:basedOn w:val="a5"/>
    <w:link w:val="12"/>
    <w:qFormat/>
    <w:rsid w:val="008164BF"/>
    <w:pPr>
      <w:numPr>
        <w:numId w:val="10"/>
      </w:numPr>
      <w:spacing w:before="120" w:after="200" w:line="276" w:lineRule="auto"/>
      <w:jc w:val="both"/>
      <w:outlineLvl w:val="0"/>
    </w:pPr>
    <w:rPr>
      <w:rFonts w:ascii="Times New Roman" w:eastAsiaTheme="minorEastAsia" w:hAnsi="Times New Roman"/>
      <w:b/>
    </w:rPr>
  </w:style>
  <w:style w:type="paragraph" w:customStyle="1" w:styleId="2">
    <w:name w:val="Моя структура 2"/>
    <w:basedOn w:val="1"/>
    <w:link w:val="20"/>
    <w:qFormat/>
    <w:rsid w:val="008164BF"/>
    <w:pPr>
      <w:numPr>
        <w:ilvl w:val="1"/>
      </w:numPr>
      <w:spacing w:before="240"/>
    </w:pPr>
  </w:style>
  <w:style w:type="character" w:customStyle="1" w:styleId="a6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ДВУХУРОВНЕВЫЙ МАРКИР Знак,SL_Абзац списка Знак,Абзац списка литеральный Знак,lp1 Знак"/>
    <w:basedOn w:val="a1"/>
    <w:link w:val="a5"/>
    <w:uiPriority w:val="34"/>
    <w:qFormat/>
    <w:locked/>
    <w:rsid w:val="008164BF"/>
  </w:style>
  <w:style w:type="character" w:customStyle="1" w:styleId="12">
    <w:name w:val="Моя структура 1 Знак"/>
    <w:basedOn w:val="a6"/>
    <w:link w:val="1"/>
    <w:locked/>
    <w:rsid w:val="008164BF"/>
    <w:rPr>
      <w:rFonts w:ascii="Times New Roman" w:eastAsiaTheme="minorEastAsia" w:hAnsi="Times New Roman"/>
      <w:b/>
    </w:rPr>
  </w:style>
  <w:style w:type="character" w:customStyle="1" w:styleId="20">
    <w:name w:val="Моя структура 2 Знак"/>
    <w:basedOn w:val="a6"/>
    <w:link w:val="2"/>
    <w:locked/>
    <w:rsid w:val="008164BF"/>
    <w:rPr>
      <w:rFonts w:ascii="Times New Roman" w:eastAsiaTheme="minorEastAsia" w:hAnsi="Times New Roman"/>
      <w:b/>
    </w:rPr>
  </w:style>
  <w:style w:type="paragraph" w:styleId="aa">
    <w:name w:val="Normal (Web)"/>
    <w:basedOn w:val="a0"/>
    <w:uiPriority w:val="99"/>
    <w:unhideWhenUsed/>
    <w:rsid w:val="00055B51"/>
    <w:pPr>
      <w:spacing w:after="1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араграф"/>
    <w:basedOn w:val="a0"/>
    <w:next w:val="a0"/>
    <w:qFormat/>
    <w:rsid w:val="000034D5"/>
    <w:pPr>
      <w:spacing w:after="75" w:line="240" w:lineRule="auto"/>
      <w:ind w:firstLine="284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a">
    <w:name w:val="List Bullet"/>
    <w:basedOn w:val="ac"/>
    <w:link w:val="ad"/>
    <w:rsid w:val="000034D5"/>
    <w:pPr>
      <w:keepLines/>
      <w:numPr>
        <w:numId w:val="23"/>
      </w:numPr>
      <w:tabs>
        <w:tab w:val="left" w:pos="567"/>
      </w:tabs>
      <w:spacing w:before="60" w:after="60" w:line="240" w:lineRule="auto"/>
      <w:contextualSpacing/>
      <w:jc w:val="both"/>
    </w:pPr>
    <w:rPr>
      <w:rFonts w:ascii="Tahoma" w:hAnsi="Tahoma" w:cs="Tahoma"/>
      <w:sz w:val="20"/>
      <w:szCs w:val="20"/>
    </w:rPr>
  </w:style>
  <w:style w:type="character" w:customStyle="1" w:styleId="ad">
    <w:name w:val="Маркированный список Знак"/>
    <w:basedOn w:val="a1"/>
    <w:link w:val="a"/>
    <w:rsid w:val="000034D5"/>
    <w:rPr>
      <w:rFonts w:ascii="Tahoma" w:hAnsi="Tahoma" w:cs="Tahoma"/>
      <w:sz w:val="20"/>
      <w:szCs w:val="20"/>
    </w:rPr>
  </w:style>
  <w:style w:type="paragraph" w:customStyle="1" w:styleId="Default">
    <w:name w:val="Default"/>
    <w:rsid w:val="000034D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c">
    <w:name w:val="Normal Indent"/>
    <w:basedOn w:val="a0"/>
    <w:uiPriority w:val="99"/>
    <w:semiHidden/>
    <w:unhideWhenUsed/>
    <w:rsid w:val="000034D5"/>
    <w:pPr>
      <w:ind w:left="708"/>
    </w:pPr>
  </w:style>
  <w:style w:type="paragraph" w:styleId="ae">
    <w:name w:val="Body Text"/>
    <w:basedOn w:val="a0"/>
    <w:link w:val="af"/>
    <w:rsid w:val="00BE081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af">
    <w:name w:val="Основной текст Знак"/>
    <w:basedOn w:val="a1"/>
    <w:link w:val="ae"/>
    <w:rsid w:val="00BE081C"/>
    <w:rPr>
      <w:rFonts w:ascii="Times New Roman" w:eastAsia="SimSu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6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5361</Words>
  <Characters>30561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35851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Малых Юлия Викторовна</cp:lastModifiedBy>
  <cp:revision>9</cp:revision>
  <dcterms:created xsi:type="dcterms:W3CDTF">2025-02-04T07:30:00Z</dcterms:created>
  <dcterms:modified xsi:type="dcterms:W3CDTF">2026-01-28T06:34:00Z</dcterms:modified>
</cp:coreProperties>
</file>